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DCSO/33/2011 vom 3. Februar 2011</w:t>
      </w:r>
    </w:p>
    <w:p>
      <w:r>
        <w:t>GE Cour de justice, 2011-02-03, FR</w:t>
      </w:r>
    </w:p>
    <w:p>
      <w:r>
        <w:rPr>
          <w:b/>
        </w:rPr>
        <w:t xml:space="preserve">Quelle: </w:t>
      </w:r>
      <w:r>
        <w:t>https://mcp.opencaselaw.ch/entscheid/ge_gerichte_DCSO_33_2011</w:t>
      </w:r>
    </w:p>
    <w:p>
      <w:r>
        <w:t>FR: GE_GERICHTE DCSO/33/2011 du 3 février 2011</w:t>
      </w:r>
    </w:p>
    <w:p>
      <w:r>
        <w:t>IT: GE_GERICHTE DCSO/33/2011 del 3 febbraio 2011</w:t>
      </w:r>
    </w:p>
    <w:p>
      <w:pPr>
        <w:pStyle w:val="Heading2"/>
      </w:pPr>
      <w:r>
        <w:t>Regeste</w:t>
      </w:r>
    </w:p>
    <w:p>
      <w:r>
        <w:t>Résumé: L'Autorité de céans laisse ouverte la question de savoir si les frais "médicaux" allégués par le plaignant doivent être inclus dans le minimum vital (interdiction de la reformatio in pejus).</w:t>
      </w:r>
    </w:p>
    <w:p>
      <w:pPr>
        <w:pStyle w:val="Heading2"/>
      </w:pPr>
      <w:r>
        <w:t>Erwägungen</w:t>
      </w:r>
    </w:p>
    <w:p>
      <w:r>
        <w:rPr>
          <w:b/>
        </w:rPr>
        <w:t>E. 28</w:t>
      </w:r>
    </w:p>
    <w:p>
      <w:r>
        <w:t>janvier 2009, étant rappelé que la saisie a été exécutée le 21 septembre 2010. Il ne s'agit donc pas d'une dépense supplémentaire, au sens du ch. II.9 des Normes d'insaisissabilité, à laquelle le plaignant devrait faire face au moment de la saisie. Quant au ch. III.4 let. d desdites Normes, il prévoit une indemnité forfaitaire pour les frais de déplacement en moto jusqu'au lieu de travail, soit 55 fr. En l'occurrence, l'Office a tenu compte de tels frais à hauteur de 70 fr.</w:t>
      </w:r>
    </w:p>
    <w:p>
      <w:r>
        <w:t>Enfin, au vu de la facture produite par la plaignant à l'appui de sa plainte, relative à un traitement dispensé par une diplômée de l'Institut de R______, l'Office, faisant usage de la faculté qui lui est réservée à l'art. 17 al. 4 LP, a décidé d'en tenir compte, au titre de frais médicaux non remboursés, à concurrence de 333 fr. 35 par mois (sur trois mois) et de porter en conséquence la saisie mensuelle à hauteur de 3'235 fr. 3.b. En raison de l'interdiction de la reformatio in pejus (cf. art. 20a al. 2 ch. 3 LP) qui s'oppose à l'augmentation de la saisie exécutée dès lors que cette dernière n'a pas été attaquée par les créanciers poursuivants, l'Autorité de céans ne modifiera pas, au détriment du plaignant, le montant des frais de déplacement retenu par l'Office. De même, elle n'expurgera pas du minimum vital les frais médicaux admis par l'Office, la question de savoir si la thérapie suivie par le plaignant doit ou non être qualifiée de traitement médical restant cependant ouverte. 4. Infondée, la plainte sera rejetée.</w:t>
      </w:r>
    </w:p>
    <w:p>
      <w:r>
        <w:t>* * * * *</w:t>
      </w:r>
    </w:p>
    <w:p>
      <w:r>
        <w:t>- 6/6 -</w:t>
      </w:r>
    </w:p>
    <w:p>
      <w:r>
        <w:t>A/4262/2010-AS PAR CES MOTIFS, L'Autorité de surveillance : A la forme : Déclare recevable la plainte formée le 13 décembre 2010 par M. B______ contre le procès-verbal de saisie, série n° 10 xxxx60 G . Au fond : La rejette.</w:t>
      </w:r>
    </w:p>
    <w:p>
      <w:r>
        <w:t>Siégeant : Madame Ariane WEYENETH, présidente ; Messieurs Philipp GANZONI et Christian CHAVAZ, juges assesseurs ,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