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DCSO/337/2016 vom 10. November 2016</w:t>
      </w:r>
    </w:p>
    <w:p>
      <w:r>
        <w:t>GE Cour de justice, 2016-11-10, FR</w:t>
      </w:r>
    </w:p>
    <w:p>
      <w:r>
        <w:rPr>
          <w:b/>
        </w:rPr>
        <w:t xml:space="preserve">Quelle: </w:t>
      </w:r>
      <w:r>
        <w:t>https://mcp.opencaselaw.ch/entscheid/ge_gerichte_DCSO_337_2016</w:t>
      </w:r>
    </w:p>
    <w:p>
      <w:r>
        <w:t>FR: GE_GERICHTE DCSO/337/2016 du 10 novembre 2016</w:t>
      </w:r>
    </w:p>
    <w:p>
      <w:r>
        <w:t>IT: GE_GERICHTE DCSO/337/2016 del 10 novembre 2016</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 La notification d’un commandement de payer est une mesure sujette à plainte et le poursuivi a qualité pour agir par cette voie.</w:t>
      </w:r>
    </w:p>
    <w:p>
      <w:r>
        <w:rPr>
          <w:b/>
        </w:rPr>
        <w:t>E. 2</w:t>
      </w:r>
    </w:p>
    <w:p>
      <w:r>
        <w:t>La plainte doit être déposée dans les dix jours de celui où le plaignant a eu connaissance de la mesure (art. 17 al. 3 LP).</w:t>
      </w:r>
    </w:p>
    <w:p>
      <w:r>
        <w:t>- 7/10 -</w:t>
      </w:r>
    </w:p>
    <w:p>
      <w:r>
        <w:t>A/301/2016-CS 2.1.1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KREN- KOSTKIEWICZ, Zustellung von Betreibungsurkunden, in BlSchK 1996, p. 201 ss, 204; DONZALLAZ, La notification en droit interne suisse, Berne 2002, p. 212 s. n° 378 s.). L'art. 64 al. 1 in fine LP prévoit que si le débiteur est absent – de sa demeure ou de son lieu de travail –,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Tel n’est pas le cas du locataire, de la femme de ménage ou du membre de la famille qui se trouve chez le débiteur seulement pour des vacances. De même, un colocataire ne saurait être considéré comme une personne adulte du ménage du poursuivi au sens de l'art. 64, al 2, 2ème phr. LP, soit une personne faisant partie de son économie domestique (GILLIERON, Commentaire, ad art. 64 n° 22 ss ; JEANNERET/LEMBO, CR-LP ad art. 64 n° 24 et les arrêts cités). La notification est réputée effectuée au moment où l'acte est remis au récipiendaire et le fait que celui-ci omette, volontairement ou non, de le transmettre au débiteur n'affecte pas la validité de la notification (JAQUES, De la notification des actes de poursuites, in BlSchK 2011 p. 177 ss, ch. 5.1 p. 184-185 et les réf. citées). 2.1.2 En l’espèce, il ressort de l’instruction de la cause que le commandement de payer litigieux a été notifié le 3 septembre 2015 en mains du colocataire du débiteur poursuivi. Il ressort toutefois de leurs auditions par la Chambre de surveillance que ce colocataire et ledit débiteur ne partageaient manifestement aucune économie domestique quelconque, quand bien même ils occupaient le même logement et recevaient leur courrier dans la même boîte aux lettres. Il en découle que ce colocataire n’était pas légitimé à recevoir valablement un commandement de payer pour le compte du débiteur poursuivi, au vu des principes rappelés ci-dessus sous ch. 2.1.1.</w:t>
      </w:r>
    </w:p>
    <w:p>
      <w:r>
        <w:t>- 8/10 -</w:t>
      </w:r>
    </w:p>
    <w:p>
      <w:r>
        <w:t>A/301/2016-CS La notification en mains dudit colocataire du commandement de payer litigieux paraît dès lors nulle et sans effet, a priori. 2.2.1 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du tout parvenu à la connaissance du débiteur, nullité qui doit être constatée d’office et en tout temps par la Chambre de surveillance. 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(arrêt 5A_6/2008 du 5 février 2008; ATF 128 III 101 consid. 2, JdT 2002 II 23; ATF 120 III 114 consid. 3b, JdT 1997 II 50),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 2.2.2 En l’espèce, il est établi que le commandement de payer litigieux n’a pas été remis immédiatement au débiteur poursuivi, dès sa notification, par son colocataire. En outre, l’avis de saisie subséquent adressé au débiteur par pli recommandé du 30 novembre 2015, retiré par ce même colocataire au guichet postal, n’a pas été transmis non plus audit débiteur par ledit colocataire. Toutefois, interrogé à nouveau sur les faits de la cause à titre de témoin, le 14 octobre 2016, ce dernier a finalement déclaré avoir effectivement remis au plaignant, de la main à la main, le commandement de payer reçu en notification le</w:t>
      </w:r>
    </w:p>
    <w:p>
      <w:r>
        <w:rPr>
          <w:b/>
        </w:rPr>
        <w:t>E. 3</w:t>
      </w:r>
    </w:p>
    <w:p>
      <w:r>
        <w:t>Cela étant, la Chambre de surveillance rappellera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w:t>
      </w:r>
    </w:p>
    <w:p>
      <w:r>
        <w:t>Ces actions relèvent toutes de la compétence exclusive du juge ordinaire, devant lequel le plaignant sera renvoyé à agir, s’il l’estime opportun</w:t>
      </w:r>
    </w:p>
    <w:p>
      <w:r>
        <w:rPr>
          <w:b/>
        </w:rPr>
        <w:t>E. 4</w:t>
      </w:r>
    </w:p>
    <w:p>
      <w:r>
        <w:t>Il n'est pas perçu de dépens (art. 62 al. OELP). * * * * *</w:t>
      </w:r>
    </w:p>
    <w:p>
      <w:r>
        <w:t>- 10/10 -</w:t>
      </w:r>
    </w:p>
    <w:p>
      <w:r>
        <w:t>A/301/2016-CS PAR CES MOTIFS, La Chambre de surveillance : Déclare irrecevable la plainte de A______ formée contre la notification, le 3 septembre 2015, du commandement de payer, poursuite n° 15 xxxx27 B, dont il a pris connaissance dans la première quinzaine du mois de novembre 2015.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