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DCSO/335/2015 vom 15. Oktober 2015</w:t>
      </w:r>
    </w:p>
    <w:p>
      <w:r>
        <w:t>GE Cour de justice, 2015-10-15, FR</w:t>
      </w:r>
    </w:p>
    <w:p>
      <w:r>
        <w:rPr>
          <w:b/>
        </w:rPr>
        <w:t xml:space="preserve">Quelle: </w:t>
      </w:r>
      <w:r>
        <w:t>https://mcp.opencaselaw.ch/entscheid/ge_gerichte_DCSO_335_2015</w:t>
      </w:r>
    </w:p>
    <w:p>
      <w:r>
        <w:t>FR: GE_GERICHTE DCSO/335/2015 du 15 octobre 2015</w:t>
      </w:r>
    </w:p>
    <w:p>
      <w:r>
        <w:t>IT: GE_GERICHTE DCSO/335/2015 del 15 ottobre 2015</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non attaquables par la voie judiciaire (art. 17 al. 1 LP), tel le refus de l'Office de reconsidérer le contenu d'un commandement de payer. La demande de reconsidération – valant plainte – a été adressée à l'Office dans les dix jours de la réception de l'exemplaire du commandement de payer destiné aux plaignantes (art. 17 al. 2 LP). Respectant pour le surplus les exigences de forme prescrites par la loi (art. 9 al. 1 LaLP et art. 65 al. 1 et 2 LPA applicable par renvoi de l'art. 9 al. 4 LaLP), la plainte est recevable.</w:t>
      </w:r>
    </w:p>
    <w:p>
      <w:r>
        <w:rPr>
          <w:b/>
        </w:rPr>
        <w:t>E. 2</w:t>
      </w:r>
    </w:p>
    <w:p>
      <w:r>
        <w:t>Est litigieuse la question de savoir si l'enfant mineure peut apparaître comme débiteur.</w:t>
      </w:r>
    </w:p>
    <w:p>
      <w:r>
        <w:rPr>
          <w:b/>
        </w:rPr>
        <w:t>E. 2.1</w:t>
      </w:r>
    </w:p>
    <w:p>
      <w:r>
        <w:t>Aux termes de l'art. 68c LP, les actes de poursuite dirigés contre un débiteur mineur sont notifiés à son représentant légal (al. 1er). Si la créance résulte de l'exercice d'une activité autorisée ou si elle est en rapport avec l'administration des revenus du travail ou des biens laissés à la disposition d'un mineur (art. 321 al. 2,</w:t>
      </w:r>
    </w:p>
    <w:p>
      <w:r>
        <w:t>- 3/4 -</w:t>
      </w:r>
    </w:p>
    <w:p>
      <w:r>
        <w:t>A/3107/2015-CS 323 al. 1 et art. 327b CC), les actes de poursuite sont notifiés au débiteur et à son représentant légal (al. 2). Ces règles sont impératives et d'ordre public; leur violation entraîne la nullité des actes de poursuites (GILLIERON, Commentaire de la loi fédérale sur la poursuite pour dettes et faillite, n. 8 ad art. 68c). Il appartient au créancier d'indiquer dans sa réquisition si le poursuivi est sous autorité parentale (GILLIERON, op. cit., n. 9 ad art. 68c) et si la créance déduite en poursuite répond aux exigences de l'art. 323 al. 1er CO.</w:t>
      </w:r>
    </w:p>
    <w:p>
      <w:r>
        <w:rPr>
          <w:b/>
        </w:rPr>
        <w:t>E. 2.2</w:t>
      </w:r>
    </w:p>
    <w:p>
      <w:r>
        <w:t>En l'espèce, les créanciers n'ont pas allégué ni rendu vraisemblable que leur créance en honoraires soit en rapport avec des biens laissés à la disposition de l'enfant, qui a bénéficié des soins ambulatoires. Compte tenu de l'âge de celle-ci, cette dernière ne réalise certainement pas de revenu non plus. Il est ainsi manifeste que l'enfant ne peut revêtir la qualité de débiteur dans la présente procédure d'exécution forcée. Partant, c'est à juste titre que l'Office a fait figurer le père de l'enfant, qui est son représentant légal, comme débiteur des sommes en poursuite.</w:t>
      </w:r>
    </w:p>
    <w:p>
      <w:r>
        <w:t>Mal fondée, la plainte sera donc rejetée.</w:t>
      </w:r>
    </w:p>
    <w:p>
      <w:r>
        <w:rPr>
          <w:b/>
        </w:rPr>
        <w:t>E. 3</w:t>
      </w:r>
    </w:p>
    <w:p>
      <w:r>
        <w:t>La procédure de plainte étant gratuite (art. 61 al. 2 let. a OELP). * * * * *</w:t>
      </w:r>
    </w:p>
    <w:p>
      <w:r>
        <w:t>- 4/4 -</w:t>
      </w:r>
    </w:p>
    <w:p>
      <w:r>
        <w:t>A/3107/2015-CS PAR CES MOTIFS, La Chambre de surveillance : A la forme : Déclare recevable la plainte formée le 8 septembre 2015 par les ETABLISSEMENTS HOSPITALIERS X______ contre le commandement de payer, poursuite n° 15 xxxx93 P. Au fond : La rejette. Siégeant : Madame Florence KRAUSKOPF, présidente; Madame Natalie OPPATJA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