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DCSO/333/2019 vom 15. August 2019</w:t>
      </w:r>
    </w:p>
    <w:p>
      <w:r>
        <w:t>GE Cour de justice, 2019-08-15, FR</w:t>
      </w:r>
    </w:p>
    <w:p>
      <w:r>
        <w:rPr>
          <w:b/>
        </w:rPr>
        <w:t xml:space="preserve">Quelle: </w:t>
      </w:r>
      <w:r>
        <w:t>https://mcp.opencaselaw.ch/entscheid/ge_gerichte_DCSO_333_2019</w:t>
      </w:r>
    </w:p>
    <w:p>
      <w:r>
        <w:t>FR: GE_GERICHTE DCSO/333/2019 du 15 août 2019</w:t>
      </w:r>
    </w:p>
    <w:p>
      <w:r>
        <w:t>IT: GE_GERICHTE DCSO/333/2019 del 15 agosto 2019</w:t>
      </w:r>
    </w:p>
    <w:p>
      <w:pPr>
        <w:pStyle w:val="Heading2"/>
      </w:pPr>
      <w:r>
        <w:t>Regeste</w:t>
      </w:r>
    </w:p>
    <w:p>
      <w:r>
        <w:t>Résumé: Séquestre ordonné sur le gain réalisé par le débiteur, domicilié en France voisine, par l'exploitation de son entreprise individuelle en Suisse. Admission de la compétence à raison du lieu de l'Office cantonal des poursuites pour exécuter le séquestre.</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Le séquestre est une mesure conservatoire urgente, qui a pour but d'éviter que le débiteur ne dispose de ses biens pour les soustraire à la poursuite pendante ou future de son créancier (ATF 133 III 589 consid. 1; 116 III 111 consid. 3a; 107 III 33 consid. 2). 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 Les biens à séquestrer doivent être énumérés de manière précise par l'ordonnance de séquestre; en particulier, les créances doivent en principe être désignées par l'indication des noms et adresses du créancier (soit le débiteur séquestré) et du débiteur (STOFFEL/CHABLOZ, Voies d'exécution, 3ème édition, 2016, p. 255 RN 46).</w:t>
      </w:r>
    </w:p>
    <w:p>
      <w:r>
        <w:t>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w:t>
      </w:r>
    </w:p>
    <w:p>
      <w:r>
        <w:t>A cet égard, l'office vérifiera que toutes les mentions prescrites par l'art. 274 al. 2 chiffres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ordre entaché de nullité, l'exécution d'une ordonnance frappée de nullité étant elle-même nulle au sens de l'art. 22 LP (ATF 136 III 379 consid. 3.1; 129 III 203 consid. 2.2 et 2.3; arrêts 5A_883/2012 du 18 janvier 2013 consid. 6.1.2 in SJ 2013 I p. 270 et les références doctrinales; 5A_483/2008 du 29 août 2008 consid. 5.3).</w:t>
      </w:r>
    </w:p>
    <w:p>
      <w:r>
        <w:t>- 4/7 -</w:t>
      </w:r>
    </w:p>
    <w:p>
      <w:r>
        <w:t>A/1064/2019-CS</w:t>
      </w:r>
    </w:p>
    <w:p>
      <w:r>
        <w:t>L'exécution du séquestre ne doit cependant être refusée que dans les cas où l'ordonnance de séquestre apparaît indubitablement nulle, notamment lorsqu'elle viole manifestement le droit international public relatif aux immunités et que l'on ne saurait exiger du plaignant qu'il agisse par la voie de l'opposition selon l'art. 278 LP (ATF 136 III 379 consid. 3 et 4.2.2). Une telle nullité sera également constatée en cas d'incompétence à raison du lieu du juge du séquestre ou de l'Office lui-même (ATF 142 III 348 consid. 3.1; 136 III 379 consid. 3.1; 129 III 203 consid. 2.3; OCHSNER, Exécution du séquestre, in JT 2006 II p. 77 ss, 82).</w:t>
      </w:r>
    </w:p>
    <w:p>
      <w:r>
        <w:rPr>
          <w:b/>
        </w:rPr>
        <w:t>E. 2.2</w:t>
      </w:r>
    </w:p>
    <w:p>
      <w:r>
        <w:t>En l'occurrence, l'Office a dans un premier temps fondé son refus d'exécuter le séquestre ordonné par le Tribunal sur la localisation en France de l'unique actif mentionné dans l'ordonnance de séquestre. Si son raisonnement devait être confirmé sur ce point, cette absence d'actif à séquestrer en Suisse aurait pour conséquence l'incompétence de l'Office pour exécuter le séquestre ainsi que celle du juge pour l'ordonner. Il s'agit donc bien d'une question que l'Office pouvait et devait vérifier avant d'exécuter le séquestre.</w:t>
      </w:r>
    </w:p>
    <w:p>
      <w:r>
        <w:t>Dans un second temps, l'Office a fait valoir que, à supposer que l'on puisse considérer que l'actif à séquestrer soit localisé en Suisse et plus particulièrement à Genève, la description qu'en donne l'ordonnance de séquestre est insuffisamment précise, en ce sens qu'elle ne mentionne pas les débiteurs des créances composant le gain devant être séquestré. Il a à cet égard été jugé (ATF 130 III 579 consid. 2) qu'une description insuffisamment précise des actifs à séquestrer dans l'ordonnance de séquestre le rendait inexécutable, ce que les autorités d'exécution, soit l'Office et, sur plainte, l'autorité de surveillance, devaient relever. Ce motif de refus d'exécuter entrait donc lui aussi dans le pouvoir d'examen réservé à l'Office.</w:t>
      </w:r>
    </w:p>
    <w:p>
      <w:r>
        <w:rPr>
          <w:b/>
        </w:rPr>
        <w:t>E. 3.1</w:t>
      </w:r>
    </w:p>
    <w:p>
      <w:r>
        <w:t>Selon l'art. 275 LP, les art. 91 à 109 LP relatifs à la saisie s'appliquent par analogie à l'exécution du séquestre.</w:t>
      </w:r>
    </w:p>
    <w:p>
      <w:r>
        <w:t>L'art. 93 LP prévoit que les revenus du travail peuvent être saisis, déduction faite de ce que le préposé estime indispensable à l'entretien du débiteur et de sa famille.</w:t>
      </w:r>
    </w:p>
    <w:p>
      <w:r>
        <w:t>La notion de revenu du travail comprend toute forme de rétribution obtenue en contrepartie d'un travail personnel, régulier ou occasionnel, périodique ou permanent, principal ou accessoire, dans le cadre d'une activité d'employé ou d'indépendant (arrêt du Tribunal fédéral 5A_589/2014 du 11 novembre 2014, consid. 3.2). Il n'existe aucune différence de nature juridique entre la saisie ou le séquestre des revenus du travail provenant d'une activité dépendante ou indépendante, seules les modalités d'exécution de la saisie ou du séquestre étant susceptibles de varier (ATF 93 III 33 consid. 1). Lorsque des revenus proviennent d'une activité exercée à titre dépendant, et que la saisie ou le séquestre porte donc sur une unique créance salariale future, il sera en effet souvent possible d'adresser au tiers employeur un avis au débiteur (art. 99 LP) l'invitant à s'acquitter</w:t>
      </w:r>
    </w:p>
    <w:p>
      <w:r>
        <w:t>- 5/7 -</w:t>
      </w:r>
    </w:p>
    <w:p>
      <w:r>
        <w:t>A/1064/2019-CS directement en mains de l'Office de la part saisie du revenu, étant toutefois rappelé que l'envoi d'un tel avis ne se confond pas avec l'exécution de la saisie et n'en constitue pas une condition (arrêt du Tribunal fédéral 5A_564/2012 du 21 novembre 2012 consid. 2.5.1). Un tel procédé ne sera en revanche, dans la plupart des cas, guère envisageable lorsque le revenu saisi ou séquestré provient d'une activité exercée à titre indépendant, puisque la saisie ou le séquestre portera alors en général sur un nombre indéterminé de créances actuelles et futures dont le débiteur sera titulaire à l'encontre de ses clients (KREN-KOSTKIEWICZ, in KUKO SchKG, 2ème édition, 2014, N 5a ad art. 93 LP). Selon la jurisprudence (ATF 112 III 19 consid. 2b et 2c et références citées), la saisie ou le séquestre devront en conséquence être exécutés sur le revenu net de l'activité exercée à titre indépendant, calculé en soustrayant du revenu brut de cette activité les frais nécessaires à son obtention. Les créances courantes et futures, qui constituent le revenu brut de l'activité exercée à titre indépendant, ne font donc pas l'objet de saisies ou de séquestres particuliers – et ne doivent par conséquent pas être mentionnées séparément dans le procès-verbal de saisie ou de séquestre – mais d'une saisie ou d'un séquestre collectifs portant sur l'ensemble de ces droits, sous déduction des frais nécessaires à leur obtention (cf., sur ce point, VON DER MÜHL, in BAK SchKG I, 2010, N 3 ad art. 93 LP).</w:t>
      </w:r>
    </w:p>
    <w:p>
      <w:r>
        <w:rPr>
          <w:b/>
        </w:rPr>
        <w:t>E. 3.2</w:t>
      </w:r>
    </w:p>
    <w:p>
      <w:r>
        <w:t>En raison du principe de la territorialité, l'Office ne peut procéder au séquestre ou à la saisie d'un droit situé à l'étranger (KREN-KOSTKIEWICZ, op. cit., N 8 ad art. 92 LP). S'il y procède néanmoins, la saisie ou le séquestre sont atteints de nullité au sens de l'art. 22 LP (ATF 140 III 512 consid. 3.1).</w:t>
      </w:r>
    </w:p>
    <w:p>
      <w:r>
        <w:t>Aux fins de détermination de la compétence de l'Office pour procéder à une saisie ou un séquestre, une créance est en principe située au domicile suisse de son créancier (le débiteur poursuivi). Si celui-ci est domicilié à l'étranger, la créance est réputée située au domicile ou à l'établissement suisse du tiers débiteur de la créance saisie ou séquestrée (ATF 140 III 512 consid. 3.2).</w:t>
      </w:r>
    </w:p>
    <w:p>
      <w:r>
        <w:rPr>
          <w:b/>
        </w:rPr>
        <w:t>E. 3.3</w:t>
      </w:r>
    </w:p>
    <w:p>
      <w:r>
        <w:t>Dans le cas d'espèce, le débiteur poursuivi est certes domicilié en France mais il exerce à Genève, à titre indépendant, une activité dont il y a lieu de présumer qu'elle lui procure un revenu a priori saisissable, et donc séquestrable, en vertu de l'art. 93 al. 1 LP.</w:t>
      </w:r>
    </w:p>
    <w:p>
      <w:r>
        <w:t>Le droit dont le séquestre a été ordonné constitue un actif sui generis, composé d'un ensemble en l'état non déterminé de créances actuelles et futures contre un nombre non défini de tiers (les clients bénéficiant des prestations de travail fournies par le poursuivi dans le cadre de son entreprise genevoise de serrurerie), sous déduction des frais nécessaires que le poursuivi encoure pour réaliser ce revenu. Au vu de la nature de l'activité exercée et de la forme juridique de l'entreprise, il faut présumer que le débiteur offre ses services avant tout à une clientèle locale, et donc que ses débiteurs sont dans leur majorité domiciliés dans</w:t>
      </w:r>
    </w:p>
    <w:p>
      <w:r>
        <w:t>- 6/7 -</w:t>
      </w:r>
    </w:p>
    <w:p>
      <w:r>
        <w:t>A/1064/2019-CS le canton de Genève. Contrairement à ce que l'Office a retenu dans un premier temps, l'actif dont le séquestre a été ordonné, dont la nature juridique est la même que celle d'une créance salariale, doit ainsi être considéré comme situé à Genève, avec pour conséquence que l'Office est compétent pour exécuter le séquestre.</w:t>
      </w:r>
    </w:p>
    <w:p>
      <w:r>
        <w:t>Le second argument invoqué par l'Office, soit l'imprécision de la description des actifs à séquestrer, est également mal fondé. Comme relevé ci-dessus, en effet, la jurisprudence relative à l'art. 93 al. 1 LP admet la saisie ou le séquestre du gain réalisé par un travailleur indépendant – sous forme du revenu net de l'activité déployée – alors même qu'il n'est pas possible de désigner précisément les créances à prendre en compte dans le calcul de ce gain, et en particulier d'indiquer leur montant et l'identité du tiers débiteur.</w:t>
      </w:r>
    </w:p>
    <w:p>
      <w:r>
        <w:t>La plainte doit donc être admise. La décision contestée sera annulée et l'Office invité à procéder à l'exécution du séquestre ordonné le 5 mars 2019.</w:t>
      </w:r>
    </w:p>
    <w:p>
      <w:r>
        <w:rPr>
          <w:b/>
        </w:rPr>
        <w:t>E. 4</w:t>
      </w:r>
    </w:p>
    <w:p>
      <w:r>
        <w:t>La procédure de plainte est gratuite (art. 20a al. 2 ch. 5 LP et art. 61 al. 2 let. a OELP) et il ne peut être alloué aucuns dépens dans cette procédure (art. 62 al. 2 OELP). * * * * *</w:t>
      </w:r>
    </w:p>
    <w:p>
      <w:r>
        <w:t>- 7/7 -</w:t>
      </w:r>
    </w:p>
    <w:p>
      <w:r>
        <w:t>A/1064/2019-CS PAR CES MOTIFS, La Chambre de surveillance : A la forme : Déclare recevable la plainte formée le 15 mars 2019 par A______ SA contre la décision de l'Office cantonal des poursuites datée du 5 mars 2019 refusant d'exécuter le séquestre ordonné le même jour par le Tribunal de première instance à l'encontre de B______. Au fond : Admet la plainte. Annule la décision rendue le 5 mars 2019. Ordonne à l’Office cantonal des poursuites d'exécuter le séquestre ordonné le 5 mars 2019 par le Tribunal de première instance à l'encontre de B______. Siégeant : Monsieur Patrick CHENAUX, président; Messieurs Georges ZUFFEREY et Christian CHAVAZ,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