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DCSO/333/2014 vom 11. Dezember 2014</w:t>
      </w:r>
    </w:p>
    <w:p>
      <w:r>
        <w:t>GE Cour de justice, 2014-12-11, FR</w:t>
      </w:r>
    </w:p>
    <w:p>
      <w:r>
        <w:rPr>
          <w:b/>
        </w:rPr>
        <w:t xml:space="preserve">Quelle: </w:t>
      </w:r>
      <w:r>
        <w:t>https://mcp.opencaselaw.ch/entscheid/ge_gerichte_DCSO_333_2014</w:t>
      </w:r>
    </w:p>
    <w:p>
      <w:r>
        <w:t>FR: GE_GERICHTE DCSO/333/2014 du 11 décembre 2014</w:t>
      </w:r>
    </w:p>
    <w:p>
      <w:r>
        <w:t>IT: GE_GERICHTE DCSO/333/2014 del 11 dicembre 2014</w:t>
      </w:r>
    </w:p>
    <w:p>
      <w:pPr>
        <w:pStyle w:val="Heading2"/>
      </w:pPr>
      <w:r>
        <w:t>Erwägungen</w:t>
      </w:r>
    </w:p>
    <w:p>
      <w:r>
        <w:rPr>
          <w:b/>
        </w:rPr>
        <w:t>E. 1.1</w:t>
      </w:r>
    </w:p>
    <w:p>
      <w:r>
        <w:t>Un procès-verbal de prise d'inventaire constitue une mesure sujette à plainte (GILLIÉRON, Poursuite pour dettes, faillite et concordat, 2012, 5ème éd., n. 543, p. 139 et jurisprudences citées; STOFFEL/OULEVEY, in Commentaire romand LP, 2005, n. 28 ad art. 283 LP; DCSO/342/2012 consid. 1.1).</w:t>
      </w:r>
    </w:p>
    <w:p>
      <w:r>
        <w:t>La plainte doit être déposée auprès de la Chambre de céans dans un délai de dix jours à compter de celui où le plaignant a eu connaissance de la mesure attaquée (art. 6 al. 3 LaLP, art. 17 al. 1 et 2 LP). Lorsque la communication de cette mesure a eu lieu sous pli simple, il appartient à l'autorité de prouver que le plaignant n'a pas agi en temps utile (ATF 114 III 51 consid. 3 = JdT 1990 II 166).</w:t>
      </w:r>
    </w:p>
    <w:p>
      <w:r>
        <w:t>- 5/9 -</w:t>
      </w:r>
    </w:p>
    <w:p>
      <w:r>
        <w:t>A/2245/2014-CS</w:t>
      </w:r>
    </w:p>
    <w:p>
      <w:r>
        <w:t>La plainte doit en outre être formée par écrit, désigner la mesure attaquée, être accompagnée des pièces auxquelles elle renvoie, être suffisamment motivée et comporter les conclusions du plaignant (art. 9 al. 1 et 2 LaLP, art. 65 al. 1 LPA applicable par renvoi de l'art. 9 al. 4 LaLP). La qualité pour porter plainte, question qui est examinée d'office (ERARD, in Commentaire romand LP, 2005, n. 22 ad 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w:t>
      </w:r>
    </w:p>
    <w:p>
      <w:r>
        <w:rPr>
          <w:b/>
        </w:rPr>
        <w:t>E. 1.2</w:t>
      </w:r>
    </w:p>
    <w:p>
      <w:r>
        <w:t>En l'espèce, la plainte a été déposée à l'encontre d'un procès-verbal de prise d'inventaire, soit d'une mesure sujette à plainte, auprès de l'autorité compétente et respecte les exigences de forme prescrites par la loi. Le procès-verbal de prise d'inventaire ayant été expédié à la plaignante par pli simple, il n'est pas possible de déterminer la date de sa réception. L'intéressée soutient l'avoir reçu le 16 juillet 2014. Dans la mesure où l'Office n'est pas parvenu à prouver que la notification serait intervenue à une date antérieure, preuve qu'il lui incombait d'apporter, il y a lieu d'admettre que la plainte a été déposée en temps utile. La plaignante, en sa qualité de locataire des locaux remis à bail et de propriétaire des objets portés à l'inventaire, a qualité pour porter plainte. Bien que sa faillite ait été prononcée, elle conserve un intérêt à l'annulation de la mesure attaquée, le jugement de faillite n'était pas définitif, une procédure de recours étant actuellement pendante. Au vu de ce qui précède, la plainte est recevable.</w:t>
      </w:r>
    </w:p>
    <w:p>
      <w:r>
        <w:rPr>
          <w:b/>
        </w:rPr>
        <w:t>E. 1.3</w:t>
      </w:r>
    </w:p>
    <w:p>
      <w:r>
        <w:t>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w:t>
      </w:r>
    </w:p>
    <w:p>
      <w:r>
        <w:t>- 6/9 -</w:t>
      </w:r>
    </w:p>
    <w:p>
      <w:r>
        <w:t>A/2245/2014-CS</w:t>
      </w:r>
    </w:p>
    <w:p>
      <w:r>
        <w:rPr>
          <w:b/>
        </w:rPr>
        <w:t>E. 2.1</w:t>
      </w:r>
    </w:p>
    <w:p>
      <w:r>
        <w:t>La plaignante soutient en premier lieu que les biens inventoriés ne pouvaient pas faire l'objet d'un droit de rétention.</w:t>
      </w:r>
    </w:p>
    <w:p>
      <w:r>
        <w:rPr>
          <w:b/>
        </w:rPr>
        <w:t>E. 2.2</w:t>
      </w:r>
    </w:p>
    <w:p>
      <w:r>
        <w:t>Selon l'art. 268 al. 1 CO, le bailleur de locaux commerciaux a, pour garantie du loyer de l'année écoulée et du semestre courant, un droit de rétention sur les meubles qui se trouvent dans les locaux loués et qui servent soit à l'aménagement, soit à l'usage de ceux-ci.</w:t>
      </w:r>
    </w:p>
    <w:p>
      <w:r>
        <w:t>Le droit de rétention concerne tous les meubles du locataire qui se trouvent dans les locaux loués et qui servent à l'aménagement ou à l'usage de ceux-ci. Il s'agit en particulier des machines, du mobilier, de l'équipement du locataire, des marchandises qui garnissent le dépôt qu'il loue, du matériel de construction entreposé dans un atelier (ATF 120 III 52 consid. 8). Certaines marchandises destinées à la vente ou au commerce peuvent également faire l'objet d'un droit de rétention pour autant qu'elles soient détenues dans les locaux loués pour une longue durée et non de façon purement passagère (SVIT, Le droit suisse du bail à loyer, 2011, p. 450).</w:t>
      </w:r>
    </w:p>
    <w:p>
      <w:r>
        <w:t>Pour déterminer si un objet sert à l'aménagement ou à l'usage des locaux, il convient de se référer au genre de ceux-ci ainsi qu'à l'usage qu'en fait le locataire. Il doit exister une relation spatiale entre les biens frappés du droit de rétention et le local remis à bail. Cette relation ne doit pas être purement fortuite. Elle doit présenter une certaine durabilité, sans qu'il soit toutefois nécessaire qu'elle subsiste pendant toute la durée du bail (ATF 120 III 52 consid. 8; 109 III 42 consid. 2 = JdT 1985 II 35).</w:t>
      </w:r>
    </w:p>
    <w:p>
      <w:r>
        <w:t>Les autorités de poursuites sont compétentes pour décider de la portée du droit de rétention bien qu'il s'agisse d'une question qui relève du droit matériel (ATF 109 III 42 consid. 2 = JdT 1985 II 35; POMMAZ, Le droit de rétention du bailleur, in JdT 2007 II 55, p. 59).</w:t>
      </w:r>
    </w:p>
    <w:p>
      <w:r>
        <w:rPr>
          <w:b/>
        </w:rPr>
        <w:t>E. 2.3</w:t>
      </w:r>
    </w:p>
    <w:p>
      <w:r>
        <w:t>En l'espèce, il ressort du dossier que si les locaux remis à bail servaient d'atelier de création et de fabrication de bijoux, ils étaient également utilisés, depuis fin décembre 2013 - début janvier 2014, pour entreposer différents objets provenant de la fermeture d'un magasin exploité par la plaignante.</w:t>
      </w:r>
    </w:p>
    <w:p>
      <w:r>
        <w:t>Parmi ces objets figurait un coffre-fort contenant les bijoux frappés du droit de rétention.</w:t>
      </w:r>
    </w:p>
    <w:p>
      <w:r>
        <w:t>Ces bijoux ne se trouvaient donc pas dans les locaux remis à bail de manière fortuite ou passagère puisqu'ils étaient, le jour de l'établissement de l'inventaire, présents dans ceux-ci depuis plus de sept mois. Il peut par ailleurs être retenu qu'ils étaient destinés à y demeurer encore pendant une certaine durée dès lors qu'il s'agissait d'anciennes pièces, leur date de création se situant entre 1995 et 2008, qui n'avaient pas été vendues. Le témoin Mme D______ a au demeurant</w:t>
      </w:r>
    </w:p>
    <w:p>
      <w:r>
        <w:t>- 7/9 -</w:t>
      </w:r>
    </w:p>
    <w:p>
      <w:r>
        <w:t>A/2245/2014-CS indiqué que lesdits bijoux lui paraissaient difficilement revendables en raison de leur caractère provocateur.</w:t>
      </w:r>
    </w:p>
    <w:p>
      <w:r>
        <w:t>Au vu de ce qui précède, la décision de l'Office de porter les bijoux litigieux à l'inventaire n'est pas critiquable. Le grief de la plaignante à cet égard est par conséquent infondé.</w:t>
      </w:r>
    </w:p>
    <w:p>
      <w:r>
        <w:rPr>
          <w:b/>
        </w:rPr>
        <w:t>E. 3.1</w:t>
      </w:r>
    </w:p>
    <w:p>
      <w:r>
        <w:t>La plaignante fait en second lieu grief à l'Office d'avoir sous-estimé la valeur des objets inventoriés et demande une nouvelle évaluation.</w:t>
      </w:r>
    </w:p>
    <w:p>
      <w:r>
        <w:rPr>
          <w:b/>
        </w:rPr>
        <w:t>E. 3.2</w:t>
      </w:r>
    </w:p>
    <w:p>
      <w:r>
        <w:t>L’art. 283 LP offre au bailleur de locaux commerciaux la possibilité de demander à l’Office d’effectuer un inventaire des biens se trouvant dans les locaux loués, pour sauvegarder son droit de rétention (art. 268 et ss CO, art. 299c CO). L’Office requis dresse l’inventaire des objets soumis au droit de rétention et assigne au bailleur un délai pour requérir la poursuite en réalisation de gages (art. 283 al. 1 et 3 LP). L’art. 97 LP est applicable par analogie à la prise d’inventaire et à l’établissement du procès-verbal d’inventaire. L’Office doit estimer la valeur des objets portés à l'inventaire et ne doit pas inventorier plus de biens qu’il n’est nécessaire pour garantir la prétention du créancier (art. 97 LP; ATF 112 III 75 consid. 1a = JdT 1988 II 105). Le préposé à l’Office des poursuites doit s’adjoindre un expert si l’estimation d’un droit patrimonial exige des connaissances spéciales qu’il ne possède pas, ce qui est normalement le cas lorsque l’objet du droit patrimonial saisi est une œuvre d’art, tels que tableaux ou statues. En cas d'infraction à cette règle, il n'y a pas lieu d'annuler l'inventaire mais d'ordonner une nouvelle estimation par un expert et d'inviter l'Office à ajuster l'étendue du droit de rétention à la nouvelle estimation (ATF 93 III 22 = JdT 1967 II 45 consid. 4 et les réf. citées). Dans les autres cas, la décision de recourir ou non aux services d'un expert appartient au préposé à l'Office (DE GOTTRAU, Commentaire romand LP, 2005, n. 10 ad art. 97 LP). L’estimation permet d’orienter le poursuivant sur le résultat prévisible de la réalisation et sert également à renseigner d’éventuels enchérisseurs. L’estimation correspond à la valeur présumée au moment de la réalisation (ATF 101 III 32 = JdT 1977 II 3; GILLIÉRON, Commentaire de la loi fédérale sur la poursuite pour dettes et la faillite, 2000, n. 19 ad art. 97 LP).</w:t>
      </w:r>
    </w:p>
    <w:p>
      <w:r>
        <w:rPr>
          <w:b/>
        </w:rPr>
        <w:t>E. 3.3</w:t>
      </w:r>
    </w:p>
    <w:p>
      <w:r>
        <w:t>En l'espèce, l’Office a estimé les objets inventoriés en tenant compte, non pas de leur valeur réelle, mais de leur valeur probable de réalisation en cas de vente aux enchères forcée, qui comme le démontre la pratique, est souvent inférieure à la valeur réelle.</w:t>
      </w:r>
    </w:p>
    <w:p>
      <w:r>
        <w:t>- 8/9 -</w:t>
      </w:r>
    </w:p>
    <w:p>
      <w:r>
        <w:t>A/2245/2014-CS Pour procéder à cette estimation, l'Office a, dans un premier temps, déterminé le prix de vente des bijoux en se fondant sur les déclarations de la plaignante. Dans la mesure où cette dernière est la créatrice des bijoux concernés, cette façon de procéder n'est pas critiquable. En effet, compte tenu des connaissances de la plaignante en la matière, l'Office pouvait obtenir de sa part toutes les informations pertinentes à l'estimation, ce qui rendait le recours à un expert inutile. De surcroît, les bijoux frappés du droit de rétention ne sauraient être assimilés à des objets d'art, de sorte que l'Office n'était pas tenu de faire appel à un expert. Dans un second temps, l'Office a évalué la valeur de réalisation probable des objets inventoriés. Pour ce faire, il s'est référé à une récente vente aux enchères portant également sur des bijoux de la plaignante lors de laquelle le produit réalisé ne s'est élevé qu'à un peu plus d'un dixième du montant escompté. Là, également, cette façon de procéder n'est pas critiquable. En effet, même si les bijoux proposés lors de cette vente n'étaient pas identiques à ceux litigieux, son résultat permet de se rendre compte de la notoriété et du caractère facilement réalisable ou non des produits de la marque commercialisée par la plaignante. L'Office pouvait donc légitimement se baser sur ladite vente pour estimer la valeur probable de réalisation des objets inventoriés. Il sera enfin relevé que l'estimation critiquée est seulement destinée à orienter le poursuivant sur le montant prévisible qui pourrait être obtenu en cas de vente, sans avoir une valeur contraignante puisque l'Office est de toute manière tenu de vendre l'objet aux enchères au prix le plus haut possible. Au vu de ce qui précède, le grief de la plaignante à cet égard est infondé. La plainte sera donc rejetée.</w:t>
      </w:r>
    </w:p>
    <w:p>
      <w:r>
        <w:rPr>
          <w:b/>
        </w:rPr>
        <w:t>E. 4</w:t>
      </w:r>
    </w:p>
    <w:p>
      <w:r>
        <w:t>La procédure de plainte est gratuite (art. 20a al. 2 ch. 5 LP ; art. 61 al. 2 let. a OELP). Il ne peut être alloué aucun dépens (art. 62 al. 2 OELP). * * * * *</w:t>
      </w:r>
    </w:p>
    <w:p>
      <w:r>
        <w:t>- 9/9 -</w:t>
      </w:r>
    </w:p>
    <w:p>
      <w:r>
        <w:t>A/2245/2014-CS PAR CES MOTIFS, La Chambre de surveillance : A la forme :</w:t>
      </w:r>
    </w:p>
    <w:p>
      <w:r>
        <w:t>Déclare recevable la plainte formée le 28 juillet 2014 par G______ SA en liquidation contre le procès-verbal de prise d'inventaire du 9 juillet 2014. Au fond : La rejette. Siégeant : Madame Florence KRAUSKOPF, président; Madame Natalie OPPATJA et Monsieur Denis KELLER,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