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DCSO/332/2018 vom 24. Mai 2018</w:t>
      </w:r>
    </w:p>
    <w:p>
      <w:r>
        <w:t>GE Cour de justice, 2018-05-24, FR</w:t>
      </w:r>
    </w:p>
    <w:p>
      <w:r>
        <w:rPr>
          <w:b/>
        </w:rPr>
        <w:t xml:space="preserve">Quelle: </w:t>
      </w:r>
      <w:r>
        <w:t>https://mcp.opencaselaw.ch/entscheid/ge_gerichte_DCSO_332_2018</w:t>
      </w:r>
    </w:p>
    <w:p>
      <w:r>
        <w:t>FR: GE_GERICHTE DCSO/332/2018 du 24 mai 2018</w:t>
      </w:r>
    </w:p>
    <w:p>
      <w:r>
        <w:t>IT: GE_GERICHTE DCSO/332/2018 del 24 maggio 2018</w:t>
      </w:r>
    </w:p>
    <w:p>
      <w:pPr>
        <w:pStyle w:val="Heading2"/>
      </w:pPr>
      <w:r>
        <w:t>Erwägungen</w:t>
      </w:r>
    </w:p>
    <w:p>
      <w:r>
        <w:rPr>
          <w:b/>
        </w:rPr>
        <w:t>E. 1.1</w:t>
      </w:r>
    </w:p>
    <w:p>
      <w:r>
        <w:t>La plainte déposée le 26 septembre 2017 est recevable pour avoir été déposée auprès de l'autorité compétente (art. 6 al.1 et 3 LaLP, art. 17 al. 1 LP), par une</w:t>
      </w:r>
    </w:p>
    <w:p>
      <w:r>
        <w:t>- 6/9 -</w:t>
      </w:r>
    </w:p>
    <w:p>
      <w:r>
        <w:t>A/3944/2017-CS partie lésée dans ses intérêts (ATF 138 III 219 consid. 2.3; 129 III 595 consid. 3; 120 III 42 consid. 3), dans le délai utile de dix jours (art. 17 al. 2 LP) et selon la forme prescrite par la loi, à savoir notamment par écrit (art. 9 al. 1 et 2 LaLP, art. 65 al. 1 et 2 LPA, applicables par renvoi de l'art. 9 al. 4 LaLP), à l'encontre d'une mesure de l'Office sujette à plainte.</w:t>
      </w:r>
    </w:p>
    <w:p>
      <w:r>
        <w:rPr>
          <w:b/>
        </w:rPr>
        <w:t>E. 1.2</w:t>
      </w:r>
    </w:p>
    <w:p>
      <w:r>
        <w:t>De jurisprudence constante, la requête doit être signée en main propre. Les envois par e-mail, fax ou SMS entraînent en effet diverses insécurités, en particulier en ce qui concerne l’identification de l’émetteur, la vérification de la signature et la constatation du moment de la réception. Dès lors, l’envoi par fax ne sauvegarde pas le délai de recours lorsque la requête doit être écrite. Ainsi, lorsqu’une écriture est adressée à l’autorité par poste et par télécopie, seule la réception de l’exemplaire écrit fait en principe courir les délais (ATF 142 IV 299; JORDAN, Le respect des délais par l'avocat, in Revue de l'avocat 2016 p. 209 et les réf. cit).</w:t>
      </w:r>
    </w:p>
    <w:p>
      <w:r>
        <w:t>Le complément de plainte envoyé par fax le 28 septembre 2017, puis par courrier postal le 4 octobre 2017, soit après l'expiration du délai de 10 jours (art. 17 al. 2 LP), est dès lors irrecevable.</w:t>
      </w:r>
    </w:p>
    <w:p>
      <w:r>
        <w:rPr>
          <w:b/>
        </w:rPr>
        <w:t>E. 1.3</w:t>
      </w:r>
    </w:p>
    <w:p>
      <w:r>
        <w:t>La question de l'irrecevabilité des conclusions préalables prises par la plaignante demeurera ouverte, au vu des considérants qui suivent et de l'issue du litige.</w:t>
      </w:r>
    </w:p>
    <w:p>
      <w:r>
        <w:rPr>
          <w:b/>
        </w:rPr>
        <w:t>E. 1.4</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Il revient à l'office d'interroger le poursuivi, d'inspecter sa demeure, voire les locaux qu'il loue comme bailleur ou locataire, de façon proportionnée aux</w:t>
      </w:r>
    </w:p>
    <w:p>
      <w:r>
        <w:t>- 7/9 -</w:t>
      </w:r>
    </w:p>
    <w:p>
      <w:r>
        <w:t>A/3944/2017-CS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JT 2001 II 78).</w:t>
      </w:r>
    </w:p>
    <w:p>
      <w:r>
        <w:rPr>
          <w:b/>
        </w:rPr>
        <w:t>E. 2.2</w:t>
      </w:r>
    </w:p>
    <w:p>
      <w:r>
        <w:t>L'art. 95 LP prescrit l'ordre dans lequel les biens patrimoniaux du poursuivi doivent être saisis, l'un des buts de cette disposition étant de mettre sous main de justice les actifs les plus aisément réalisables dans l'intérêt des créanciers (ATF 117 III 61 consid. 2). Doivent ainsi être saisis au premier chef les biens meubles, y compris les créances et les droits relativement saisissables (art. 93 LP); les objets de valeur courante doivent être saisis les premiers, à commencer par ceux dont le débiteur peut se passer le plus aisément (art. 95 al. 1 LP). Les immeubles ne sont saisis qu'à défaut de biens meubles suffisants pour couvrir la créance (art. 95 al. 2 LP). L'Office des poursuites peut s'écarter de l'ordre légal prévu par l'art. 95 LP lorsque les circonstances le justifient ou que le créancier et le débiteur le demandent conjointement (art. 95 al. 4bis LP; ATF 115 III 45 consid. 3).</w:t>
      </w:r>
    </w:p>
    <w:p>
      <w:r>
        <w:rPr>
          <w:b/>
        </w:rPr>
        <w:t>E. 2.3</w:t>
      </w:r>
    </w:p>
    <w:p>
      <w:r>
        <w:t>La plainte est, en l'espèce, dirigée contre le procès-verbal de saisie daté du 8 septembre 2017, aux termes duquel l'Office a saisi à hauteur d'un montant mensuel de 470 fr. par mois du 1er juillet 2017 au 30 juin 2018, la rente mensuelle perçue par le poursuivi, renonçant par ailleurs à saisir sa part de copropriété d'une moitié d'un immeuble sis à ______. Il était alors reproché à l'Office d'avoir renoncé à saisir ce dernier actif, alors que la saisie des revenus n'était pas suffisante pour permettre le recouvrement de la créance faisant alors l'objet de la poursuite. Postérieurement à l'expiration du délai de plainte, la plaignante a encore reproché à l'Office d'avoir insuffisamment investigué la situation financière du poursuivi, et d'avoir ainsi sous-évalué ses revenus saisissables et surévalué ses charges incompressibles. La recevabilité, respectivement le bien-fondé, de ces griefs, n'ont pas à être tranchés dans le cadre de la présente plainte, les développements subséquents les ayant privés de pertinence.</w:t>
      </w:r>
    </w:p>
    <w:p>
      <w:r>
        <w:t>- 8/9 -</w:t>
      </w:r>
    </w:p>
    <w:p>
      <w:r>
        <w:t>A/3944/2017-CS En premier lieu, il est aujourd'hui établi, à l'issue de la procédure en annulation de poursuite engagée par le poursuivi (cause C/3______), que le montant en poursuite ne s'élève plus qu'à 26'100 fr. plus frais et intérêts. En second lieu, la saisie des revenus du débiteur a été portée de 470 fr. à 4'220 fr. par mois à compter du 6 novembre 2017, ce qui, selon courrier de l'Office daté du 19 avril 2018, permettra de couvrir le montant en poursuite avant la péremption de la saisie. Il en résulte, d'une part, que la saisie de la part de copropriété immobilière appartenant au débiteur contreviendrait aujourd'hui aux art. 95 al. 1 et 97 al. 2 LP et, d'autre part, que les mesures d'investigation requises par la plaignante n'ont plus lieu d'être, les actifs d'ores et déjà identifiés et saisis étant suffisants. La plainte est ainsi devenue sans objet en cours de procédure, ce qui sera constaté. Il sera enfin rappelé qu'il n'appartient pas aux autorités de poursuite de se prononcer sur les conséquences de la compensation invoquée par le poursuivi.</w:t>
      </w:r>
    </w:p>
    <w:p>
      <w:r>
        <w:rPr>
          <w:b/>
        </w:rPr>
        <w:t>E. 3</w:t>
      </w:r>
    </w:p>
    <w:p>
      <w:r>
        <w:t>La procédure de plainte est gratuite (art. 20a al. 2 ch. 5 LP et art. 61 al. 2 let. a OELP) et il ne peut être alloué aucuns dépens dans cette procédure (art. 62 al. 2 OELP). * * * * *</w:t>
      </w:r>
    </w:p>
    <w:p>
      <w:r>
        <w:t>- 9/9 -</w:t>
      </w:r>
    </w:p>
    <w:p>
      <w:r>
        <w:t>A/3944/2017-CS PAR CES MOTIFS, La Chambre de surveillance : A la forme : Déclare recevable la plainte formée le 26 septembre 2017 par A______ contre le procès-verbal de saisie du 8 septembre 2017 dans le cadre de la poursuite n° 1______. Au fond : Constate que la plainte est devenue sans objet. Raye en conséquence la cause du rôle. Siégeant : Monsieur Patrick CHENAUX, président; Messieurs Georges ZUFFEREY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