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DCSO/331/2022 vom 14. April 2022</w:t>
      </w:r>
    </w:p>
    <w:p>
      <w:r>
        <w:t>GE Cour de justice, 2022-04-14, FR</w:t>
      </w:r>
    </w:p>
    <w:p>
      <w:r>
        <w:rPr>
          <w:b/>
        </w:rPr>
        <w:t xml:space="preserve">Quelle: </w:t>
      </w:r>
      <w:r>
        <w:t>https://mcp.opencaselaw.ch/entscheid/ge_gerichte_DCSO_331_2022</w:t>
      </w:r>
    </w:p>
    <w:p>
      <w:r>
        <w:t>FR: GE_GERICHTE DCSO/331/2022 du 14 avril 2022</w:t>
      </w:r>
    </w:p>
    <w:p>
      <w:r>
        <w:t>IT: GE_GERICHTE DCSO/331/2022 del 14 aprile 2022</w:t>
      </w:r>
    </w:p>
    <w:p>
      <w:pPr>
        <w:pStyle w:val="Heading2"/>
      </w:pPr>
      <w:r>
        <w:t>Regeste</w:t>
      </w:r>
    </w:p>
    <w:p>
      <w:r>
        <w:t>Résumé: Absence de plainte (demande de réexamen de la situation). Examen de la saisie de gains sous l'angle de 22 al. 1 LP.</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w:t>
      </w:r>
    </w:p>
    <w:p>
      <w:r>
        <w:t>- 4/7 -</w:t>
      </w:r>
    </w:p>
    <w:p>
      <w:r>
        <w:t>A/1215/2022-CS</w:t>
      </w:r>
    </w:p>
    <w:p>
      <w:r>
        <w:t>1.1.2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Tel est le cas, selon la jurisprudence, d'une saisie violant de façon manifeste le minimum vital du débiteur (ATF 114 III 78; arrêt du Tribunal fédéral 5A_680/2015 du 6 novembre 2015 consid. 3; DIETH/WOHL, in KUKO SchKG, 2ème édition, 2014, N 2b ad art. 22 LP).</w:t>
      </w:r>
    </w:p>
    <w:p>
      <w:r>
        <w:rPr>
          <w:b/>
        </w:rPr>
        <w:t>E. 1.2</w:t>
      </w:r>
    </w:p>
    <w:p>
      <w:r>
        <w:t>En l'occurrence, la poursuivie ne s'en prend pas, dans le courrier qu'elle a adressé le 19 avril 2022 à la Chambre de surveillance, à une mesure individualisée de l'Office. En particulier, elle ne formule aucune conclusion spécifique relative aux divers procès-verbaux de saisie qui lui ont été notifiés, se bornant à demander à la Chambre de céans de "revoir" son dossier, ce qui excède ses compétences en matière de plainte. Le courrier susvisé ne peut donc être considéré comme une plainte; le pourrait-il que son irrecevabilité pour tardiveté (le délai de plainte de dix jours contre les divers procès-verbaux de saisie n'ayant manifestement pas été respecté) et défaut de conclusions devrait être constatée.</w:t>
      </w:r>
    </w:p>
    <w:p>
      <w:r>
        <w:t>Dans la mesure toutefois où la poursuivie se plaint d'une violation manifeste de son minimum vital et qu'un tel vice, pour autant qu'il soit avéré, entraînerait la nullité de la saisie au sens de l'art. 22 al. 1 LP, il y a lieu d'examiner ses griefs.</w:t>
      </w:r>
    </w:p>
    <w:p>
      <w:r>
        <w:rPr>
          <w:b/>
        </w:rPr>
        <w:t>E. 2</w:t>
      </w:r>
    </w:p>
    <w:p>
      <w:r>
        <w:t>La poursuivie dénonce une violation de son minimum vital à plusieurs égards.</w:t>
      </w:r>
    </w:p>
    <w:p>
      <w:r>
        <w:rPr>
          <w:b/>
        </w:rPr>
        <w:t>E. 2.1</w:t>
      </w:r>
    </w:p>
    <w:p>
      <w:r>
        <w:t>L'absence de prise en considération de sa charge fiscale est, contrairement à ce qu'elle soutient, bien fondée. De jurisprudence constante en effet, les impôts ne constituent pas des charges indispensables au sens de l'art. 93 al. 1 LP et ne peuvent en conséquence être pris en compte pour déterminer la quotité saisissable des revenus du débiteur (ATF 140 III 337 consid. 4.4).</w:t>
      </w:r>
    </w:p>
    <w:p>
      <w:r>
        <w:rPr>
          <w:b/>
        </w:rPr>
        <w:t>E. 2.2</w:t>
      </w:r>
    </w:p>
    <w:p>
      <w:r>
        <w:t>C'est à tort également que la poursuivie reproche à l'Office d'avoir saisi les avoirs déposés sur le compte bancaire dont elle était titulaire : cette saisie a en effet porté sur un actif dont elle était la "propriétaire" apparente (et qui n'a du reste fait l'objet d'aucune revendication au sens des art. 106 ss. LP) et dans le respect des règles régissant l'ordre de saisissabilité des actifs (art. 95 LP). Elle ne saurait en tout état être atteinte de nullité puisque les revenus de la débitrice doivent lui permettre de couvrir son minimum vital.</w:t>
      </w:r>
    </w:p>
    <w:p>
      <w:r>
        <w:rPr>
          <w:b/>
        </w:rPr>
        <w:t>E. 2.3</w:t>
      </w:r>
    </w:p>
    <w:p>
      <w:r>
        <w:t>La poursuivie fait pour l'essentiel valoir que la part de ses revenus laissée à sa disposition ne lui permettait pas de faire face à ses dépenses médicales.</w:t>
      </w:r>
    </w:p>
    <w:p>
      <w:r>
        <w:rPr>
          <w:b/>
        </w:rPr>
        <w:t>E. 2.3.1</w:t>
      </w:r>
    </w:p>
    <w:p>
      <w:r>
        <w:t>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D'autres charges indispensables, comme les frais de logement (art. II.1 et II.3 des Normes d'insaisissabilité 2022) ou les primes d'assurance-maladie obligatoire (art. II.3 NI-2022), doivent être ajoutés à cette</w:t>
      </w:r>
    </w:p>
    <w:p>
      <w:r>
        <w:t>- 5/7 -</w:t>
      </w:r>
    </w:p>
    <w:p>
      <w:r>
        <w:t>A/1215/2022-CS base mensuelle d'entretien, pour autant qu'elles soient effectivement payées (OCHSNER, in CR-LP, n° 82 ad art. 93 LP).</w:t>
      </w:r>
    </w:p>
    <w:p>
      <w:r>
        <w:t>Doivent également être pris en compte les frais médicaux ou de médicaments au sens large (médicaments, dentiste, franchise, etc.), pour autant qu'ils soient effectifs, nécessaires et ne soient pas payés par une assurance (ATF 129 III 242 consid. 4.1). Le montant de la franchise de l'assurance maladie obligatoire et celui de la participation à la charge de l'assuré aux frais de médicaments peuvent être mensualisés et inclus dans les charges indispensables lorsqu'il apparaît certain que, pendant la durée de la saisie, le débiteur devra assumer des frais médicaux excédant ces montants, par exemple en cas de maladie chronique (ATF 129 III 242 consid. 4.3).</w:t>
      </w:r>
    </w:p>
    <w:p>
      <w:r>
        <w:t>L'art. II.9 NI-2022 prévoit que si, au moment de la saisie, le débiteur doit faire face de manière imminente à des dépenses supplémentaires telles que des frais médicaux, il convient de tenir compte de ces dépenses, pour autant qu'elles soient raisonnables, en augmentant temporairement le minimum vital du montant correspondant. Les frais médicaux antérieurs à la saisie ne peuvent en revanche être pris en compte (ATF 85 III 67).</w:t>
      </w:r>
    </w:p>
    <w:p>
      <w:r>
        <w:rPr>
          <w:b/>
        </w:rPr>
        <w:t>E. 2.3.2</w:t>
      </w:r>
    </w:p>
    <w:p>
      <w:r>
        <w:t>En l'occurrence, il ne résulte pas du dossier que l'Office aurait violé les principes rappelés ci-dessus et porté ainsi atteinte au minimum vital de la débitrice.</w:t>
      </w:r>
    </w:p>
    <w:p>
      <w:r>
        <w:t>Celle-ci invoque certes – pêle-mêle et sans produire de pièces justificatives – divers frais de nature médicale, dont la prise en considération dans le cadre du calcul de la quotité saisissable n'est en soi pas exclue, mais demeure soumise à diverses conditions dont il n'est pas avéré qu'elles soient réalisées. C'est ainsi en particulier que la date et la nature (orthodontie ou traitement d'urgence) des frais de dentiste allégués ne sont pas clairement établies, alors que seuls des frais actuels ou futurs pouvaient être pris en considération au moment de l'exécution de la saisie. La débitrice n'a par ailleurs pas produit de décompte de son assurance maladie, de telle sorte que l'on ignore dans quelle mesure les frais de médicaments notamment lui ont été remboursés. Le caractère nécessaire et raisonnable de certaines dépenses (p. ex. lunettes et traitement d'orthodontie) n'a pas non plus été établi.</w:t>
      </w:r>
    </w:p>
    <w:p>
      <w:r>
        <w:t>Il ressort par ailleurs du dossier que l'Office a bel et bien tenu compte dans une certaine mesure des frais invoqués par la poursuivie. Il a ainsi remboursé à cette dernière en décembre 2021 un montant de 500 fr. correspondant à sa franchise d'assurance maladie obligatoire. Il lui a également versé en novembre 2021 un montant de 454 fr. 50 correspondant vraisemblablement à des frais médicaux.</w:t>
      </w:r>
    </w:p>
    <w:p>
      <w:r>
        <w:t>En résumé, il ne peut être retenu que l'Office aurait refusé de rembourser à la poursuivie les montants nécessaires à la couverture de ses frais médicaux raisonnables et effectifs, et aurait ainsi violé de manière manifeste son minimum</w:t>
      </w:r>
    </w:p>
    <w:p>
      <w:r>
        <w:t>- 6/7 -</w:t>
      </w:r>
    </w:p>
    <w:p>
      <w:r>
        <w:t>A/1215/2022-CS vital. La saisie, série N° 1______, n'est ainsi pas nulle, de même que les saisies, séries N° 2______ et 3______, qui l'ont suivie.</w:t>
      </w:r>
    </w:p>
    <w:p>
      <w:r>
        <w:rPr>
          <w:b/>
        </w:rPr>
        <w:t>E. 2.3.3</w:t>
      </w:r>
    </w:p>
    <w:p>
      <w:r>
        <w:t>L'attention de l'Office sera pour le surplus attirée sur le fait que l'avis au tiers débiteur (art. 99 LP) adressé le 5 novembre 2021 au Service des Prestations cantonales en cas de maladie (pièce 15 Office) fait état d'un minimum vital de 2'145 fr. alors que, selon les procès-verbaux de saisie, il s'élève à 2'221 fr. par mois. L'Office sera dès lors invité à investiguer les causes de cette divergence et, le cas échéant, à rembourser à la débitrice un éventuel trop-perçu.</w:t>
      </w:r>
    </w:p>
    <w:p>
      <w:r>
        <w:rPr>
          <w:b/>
        </w:rPr>
        <w:t>E. 3</w:t>
      </w:r>
    </w:p>
    <w:p>
      <w:r>
        <w:t>La procédure est gratuite (art. 20a al. 2 ch. 5 LP; art. 61 al. 2 lit. a OELP) et il n'est pas alloué de dépens (art. 62 al. 2 OELP).</w:t>
      </w:r>
    </w:p>
    <w:p>
      <w:r>
        <w:t>* * * * *</w:t>
      </w:r>
    </w:p>
    <w:p>
      <w:r>
        <w:t>- 7/7 -</w:t>
      </w:r>
    </w:p>
    <w:p>
      <w:r>
        <w:t>A/1215/2022-CS PAR CES MOTIFS, La Chambre de surveillance : A la forme : Entre en matière, au sens de l'art. 22 al. 1 LP, sur le courrier adressé le 19 avril 2022 à la Chambre de surveillance par A______. Au fond : Constate que les saisies de revenus, séries N° 1______, 2______ et 3______, exécutées à son encontre ne sont pas nulles. Siégeant : Monsieur Patrick CHENAUX, président; Madame Natalie OPPATJA et Monsieur Mathieu HOWALD, juges assesseurs; Madame Véronique AMAUDRY- PISCETTA, greffière.</w:t>
      </w:r>
    </w:p>
    <w:p>
      <w:r>
        <w:t>Le président :</w:t>
      </w:r>
    </w:p>
    <w:p>
      <w:r>
        <w:t>Patrick CHENAUX</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