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DCSO/331/2011 vom 20. April 2011</w:t>
      </w:r>
    </w:p>
    <w:p>
      <w:r>
        <w:t>GE Cour de justice, 2011-04-20, FR</w:t>
      </w:r>
    </w:p>
    <w:p>
      <w:r>
        <w:rPr>
          <w:b/>
        </w:rPr>
        <w:t xml:space="preserve">Quelle: </w:t>
      </w:r>
      <w:r>
        <w:t>https://mcp.opencaselaw.ch/entscheid/ge_gerichte_DCSO_331_2011</w:t>
      </w:r>
    </w:p>
    <w:p>
      <w:r>
        <w:t>FR: GE_GERICHTE DCSO/331/2011 du 20 avril 2011</w:t>
      </w:r>
    </w:p>
    <w:p>
      <w:r>
        <w:t>IT: GE_GERICHTE DCSO/331/2011 del 20 aprile 2011</w:t>
      </w:r>
    </w:p>
    <w:p>
      <w:pPr>
        <w:pStyle w:val="Heading2"/>
      </w:pPr>
      <w:r>
        <w:t>Regeste</w:t>
      </w:r>
    </w:p>
    <w:p>
      <w:r>
        <w:t>Résumé: L'assurance n'a pas rendu de décision sur opposition suite au recours formé par le poursuivi.</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 avis aux débiteurs de la délivrance d'un acte de défaut de biens constitue un acte sujet à plainte et le plaignant a agi dans le délai et les formes prescrits par la loi.</w:t>
      </w:r>
    </w:p>
    <w:p>
      <w:r>
        <w:t>La plainte est donc recevable.</w:t>
      </w:r>
    </w:p>
    <w:p>
      <w:r>
        <w:rPr>
          <w:b/>
        </w:rPr>
        <w:t>E. 2.1</w:t>
      </w:r>
    </w:p>
    <w:p>
      <w:r>
        <w:t>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w:t>
      </w:r>
    </w:p>
    <w:p>
      <w:r>
        <w:t>Dans le domaine plus spécifique de l’assurance maladie, une caisse maladie est en droit, postérieurement à la notification d’un commandement de payer frappé d’opposition, de rendre une décision levant formellement cette opposition (ATF 130 III 524, JdT 2005 II 95, consid. 1.1 in fine; ATF 128 III 246, JdT 2002 66; ATF 121 V 109; ATF 109 V 46, JdT 1985 II 92).</w:t>
      </w:r>
    </w:p>
    <w:p>
      <w:r>
        <w:t>La décision que rend la caisse maladie est fondée sur l’art. 49 de la loi fédérale sur la partie générale du droit des assurances sociales (RS 830.1 - LPGA). Les décisions de la caisse maladie portant sur des prestations, créances ou injonctions importantes peuvent être attaquées dans les trente jours par voie d’opposition auprès de l’assureur qui les a rendues (art. 52 al. 1 LPGA). Les décisions sur opposition doivent être rendues dans un délai approprié, être motivées et indiquer les voies de recours (art. 52 al. 2 LPGA).</w:t>
      </w:r>
    </w:p>
    <w:p>
      <w:r>
        <w:t>Il appartient à l'autorité administrative d'établir qu'elle a notifié au débiteur sa décision de mainlevée et qu'il n'a pas exercé le recours à sa disposition (arrêt du Tribunal fédéral 5A_172/2009; BlSchK 2007 111; RTiD 2008 I 1076).</w:t>
      </w:r>
    </w:p>
    <w:p>
      <w:r>
        <w:rPr>
          <w:b/>
        </w:rPr>
        <w:t>E. 2.2</w:t>
      </w:r>
    </w:p>
    <w:p>
      <w:r>
        <w:t>En l'espèce, le plaignant a formé opposition au commandement de payer et la poursuivante a, par décision du 20 avril 2011, prononcé la mainlevée de cette opposition. Cette décision indiquait qu'elle pouvait être attaquée dans les trente jours par voie de l'opposition auprès de l'assureur, celle-ci devant être formulée par écrit, motivée et envoyée par courrier recommandé. A teneur d'un courrier du</w:t>
      </w:r>
    </w:p>
    <w:p>
      <w:r>
        <w:t>- 4/5 -</w:t>
      </w:r>
    </w:p>
    <w:p>
      <w:r>
        <w:t>A/2550/2011-AS 20 juin 2011, joint à la réquisition de continuer la poursuite, la poursuivante a déclaré que sa décision était entrée en force faute d'opposition.</w:t>
      </w:r>
    </w:p>
    <w:p>
      <w:r>
        <w:t>Or, il ressort de l'instruction de la cause que le plaignant a, par courrier envoyé sous pli recommandé à l'adresse de l'autorité susmentionnée le 11 mai 2011 - soit dans le délai de trente jours à compter de sa réception intervenue au plus tôt le 21 avril 2011 - formé opposition à la décision du 20 avril 2011.</w:t>
      </w:r>
    </w:p>
    <w:p>
      <w:r>
        <w:t>Force est en conséquence de retenir que l'attestation d'entrée en force de la décision de mainlevée produite par la poursuivante est erronée et qu'il lui appartient de rendre une décision sur opposition.</w:t>
      </w:r>
    </w:p>
    <w:p>
      <w:r>
        <w:rPr>
          <w:b/>
        </w:rPr>
        <w:t>E. 2.3</w:t>
      </w:r>
    </w:p>
    <w:p>
      <w:r>
        <w:t>Les actes de poursuite postérieurs accomplis nonobstant l’opposition sont nuls et cette nullité doit être constatée d'office et en tout temps (Pierre-Robert Gilliéron, Commentaire, ad art. 78 n° 11; Balthasar Bessenich, in SchKG I ad art. 78 n° 1; Flavio Cometta, in SchKG I ad art. 22 n° 12; Carl Jaeger / Hans Ulrich Walder / Thomas M. Kull / Martin Kottman, SchKG, 4ème éd. 1997, ad art. 22, n° 9; ATF 109 III 53 consid. 2b in fine; ATF 85 III 14, 16 s).</w:t>
      </w:r>
    </w:p>
    <w:p>
      <w:r>
        <w:t>La Chambre de céans, qui admettra la plainte, rejettera en conséquence la réquisition de continuer la poursuite n° 11 xxxx39 E, qui n'est pas fondée sur une décision passée en force écartant l'opposition, et constatera la nullité de l'avis au débiteur de la délivrance d'un acte de défaut de biens, respectivement, de l'acte de défaut de biens communiqué à la poursuivante.</w:t>
      </w:r>
    </w:p>
    <w:p>
      <w:r>
        <w:t>* * * * *</w:t>
      </w:r>
    </w:p>
    <w:p>
      <w:r>
        <w:t>- 5/5 -</w:t>
      </w:r>
    </w:p>
    <w:p>
      <w:r>
        <w:t>A/2550/2011-AS PAR CES MOTIFS, La Chambre de surveillance : A la forme : Déclare recevable la plainte formée le 23 août 2011 contre l'avis aux débiteurs de la délivrance d'un acte de défaut de biens dans le cadre de la poursuite n° 11 xxxx39 E. Au fond : L'admet. Rejette la réquisition de continuer la poursuite n° 11 xxxx39 E. Constate la nullité de l'avis aux débiteurs de la délivrance d'un acte de défaut de biens et de l'acte de défaut de biens communiqué à la Caisse maladie MUTUEL ASSURANCES. Déboute les parties de toutes autres conclusions. Siégeant : Madame Ariane WEYENETH, présidente; Madame Valérie CARERA et Monsieur Eric DE PREUX, juges assesseur(e)s; Madame Véronique PISCETTA, greffière. 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