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DCSO/326/2017 vom 27. Juni 2017</w:t>
      </w:r>
    </w:p>
    <w:p>
      <w:r>
        <w:t>GE Cour de justice, 2017-06-27, FR</w:t>
      </w:r>
    </w:p>
    <w:p>
      <w:r>
        <w:rPr>
          <w:b/>
        </w:rPr>
        <w:t xml:space="preserve">Quelle: </w:t>
      </w:r>
      <w:r>
        <w:t>https://mcp.opencaselaw.ch/entscheid/ge_gerichte_DCSO_326_2017</w:t>
      </w:r>
    </w:p>
    <w:p>
      <w:r>
        <w:t>FR: GE_GERICHTE DCSO/326/2017 du 27 juin 2017</w:t>
      </w:r>
    </w:p>
    <w:p>
      <w:r>
        <w:t>IT: GE_GERICHTE DCSO/326/2017 del 27 giugno 2017</w:t>
      </w:r>
    </w:p>
    <w:p>
      <w:pPr>
        <w:pStyle w:val="Heading2"/>
      </w:pPr>
      <w:r>
        <w:t>Volltext</w:t>
      </w:r>
    </w:p>
    <w:p>
      <w:r>
        <w:t>REPUBLIQUE ET</w:t>
      </w:r>
    </w:p>
    <w:p>
      <w:r>
        <w:t>CANTON DE GENEVE POUVOIR JUDICIAIRE A/1146/2017-CS DCSO/326/17 DECISION DE LA COUR DE JUSTICE Chambre de surveillance des Offices des poursuites et faillites DU MARDI 27 JUIN 2017</w:t>
      </w:r>
    </w:p>
    <w:p>
      <w:r>
        <w:t>Plainte 17 LP (A/1146/2017-CS) formée en date du 30 mars 2017 par A______, élisant domicile en l'étude de Me Philippe JUVET, avocat.</w:t>
      </w:r>
    </w:p>
    <w:p>
      <w:r>
        <w:t>* * * * *</w:t>
      </w:r>
    </w:p>
    <w:p>
      <w:r>
        <w:t>Décision communiquée par courrier A à l'Office concerné et par pli recommandé du greffier du 28 juin 2017 à : - A______, c/o Me Philippe JUVET, avocat Rue de la Fontaine 2 1204 Genève. - Monsieur Philippe DUFEY, Préposé. - Office des poursuites.</w:t>
      </w:r>
    </w:p>
    <w:p>
      <w:r>
        <w:t>- 2/4 -</w:t>
      </w:r>
    </w:p>
    <w:p>
      <w:r>
        <w:t>A/1146/2017-CS Vu, EN FAIT, la réquisition de poursuite expédiée le 8 juillet 2016 à l’Office des poursuites (ci-après : l’Office) par A______ (ci-après : le créancier) à l’encontre de B______ (Genève) SA (ci-après : la débitrice); Attendu que par acte expédié le 30 mars 2017 au greffe de la Chambre de surveillance des Offices des poursuites et des faillites (ci-après : la Chambre de surveillance), le créancier s’est plaint d'un retard injustifié dans le traitement de cette réquisition de poursuite; Qu’il a expliqué avoir envoyé deux relances à l’Office au sujet de cette réquisition, entre décembre 2016 et mars 2017, cela sans réaction dudit Office, y compris jusqu'à la date de la rédaction de la présente plainte; Que dans ses observations déposées le 27 avril 2017, ce dernier s’en est rapporté à justice au sujet de cette plainte; Qu'il a admis avoir eu du retard dans le traitement de la réquisition de poursuite en question, reçue le 13 juillet 2016; Qu'en effet, le commandement de payer, poursuite n° 16 xxxx94 Y, faisant suite à cette réquisition n'a été édité que le 31 octobre 2016, puis remis à la Poste pour notification, sans succès; Qu'une convocation en vue d'une notification fut envoyée à la débitrice le 6 janvier 2017 par l'Office, également sans succès, le pli ayant été retourné à ce dernier avec la mention « déménagé », alors qu'aucune mention d'un tel déménagement de la société débitrice ne figurait au Registre du commerce; Que finalement, le 13 avril 2017, à la suite du dépôt de la présente plainte, l'Office a transmis le dossier à son service compétent pour enquêter sur place à l'adresse de la société lors d'une tournée à venir;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w:t>
      </w:r>
    </w:p>
    <w:p>
      <w:r>
        <w:t>- 3/4 -</w:t>
      </w:r>
    </w:p>
    <w:p>
      <w:r>
        <w:t>A/1146/2017-CS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8 juillet 2016; Que ledit Office a alors mis sept mois pour, le 6 janvier 2017, convoquer la débitrice à laquelle il n'arrivait pas à notifier le commandement de payer correspondant, poursuite n° 16 xxxx94 Y; Que cette convocation n'a pas abouti, de sorte que l'Office a décidé en avril 2017, à la suite du dépôt de la présente plainte, d'envoyer l'un de ses enquêteurs sur place; Que cette situation est constitutive d’un retard inadmissible et injustifié de l’Office, même si ce dernier s’est heurté notamment à l’attitude négative de la débitrice; Que ce retard injustifié doit être constaté; Qu’en effet, il appartient audit Office de faire diligence dans le traitement des actes de poursuite qui lui parviennent, de sorte qu’un délai de près de neuf mois entre la réception de la réquisition de poursuite par l'Office et l’envoi de la plainte du créancier à la Chambre de surveillance, faute de réaction dudit Office, n’est pas admissible, même face à une débitrice récalcitrante;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- 4/4 -</w:t>
      </w:r>
    </w:p>
    <w:p>
      <w:r>
        <w:t>A/1146/2017-CS PAR CES MOTIFS, La Chambre de surveillance : A la forme : Déclare recevable la plainte formée le 30 mars 2017 par A______ pour retard injustifié de l’Office des poursuites dans le traitement de sa réquisition de poursuite dirigée le 8 juillet 2016 à l’encontre de B______ (Genève)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