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DCSO/325/2015 vom 15. Oktober 2015</w:t>
      </w:r>
    </w:p>
    <w:p>
      <w:r>
        <w:t>GE Cour de justice, 2015-10-15, FR</w:t>
      </w:r>
    </w:p>
    <w:p>
      <w:r>
        <w:rPr>
          <w:b/>
        </w:rPr>
        <w:t xml:space="preserve">Quelle: </w:t>
      </w:r>
      <w:r>
        <w:t>https://mcp.opencaselaw.ch/entscheid/ge_gerichte_DCSO_325_2015</w:t>
      </w:r>
    </w:p>
    <w:p>
      <w:r>
        <w:t>FR: GE_GERICHTE DCSO/325/2015 du 15 octobre 2015</w:t>
      </w:r>
    </w:p>
    <w:p>
      <w:r>
        <w:t>IT: GE_GERICHTE DCSO/325/2015 del 15 ottobre 2015</w:t>
      </w:r>
    </w:p>
    <w:p>
      <w:pPr>
        <w:pStyle w:val="Heading2"/>
      </w:pPr>
      <w:r>
        <w:t>Erwägungen</w:t>
      </w:r>
    </w:p>
    <w:p>
      <w:r>
        <w:rPr>
          <w:b/>
        </w:rPr>
        <w:t>E. 1.1</w:t>
      </w:r>
    </w:p>
    <w:p>
      <w:r>
        <w:t>La Chambre de surveillance est compétente pour statuer sur les plaintes en matière d’exécution forcée (art. 17 LP ; art. 10 al. 1 LaLP). Cette voie de droit est subsidiaire à la voie judiciaire (art. 17 al. 1 in initio LP). Il est constant que la décision de l’Office refusant la notification d’un commandement de payer est une mesure sujette à plainte que le plaignant, créancier, a qualité pour attaquer par cette voie (art. 17 al. 1 LP).</w:t>
      </w:r>
    </w:p>
    <w:p>
      <w:r>
        <w:rPr>
          <w:b/>
        </w:rPr>
        <w:t>E. 1.2</w:t>
      </w:r>
    </w:p>
    <w:p>
      <w:r>
        <w:t>Le délai pour porter plainte est de dix jours à compter de celui où le plaignant a eu connaissance de la mesure attaquée (art. 17 al. 2 LP). Formée le 9 juillet 2015 contre la décision critiquée de l’Office reçue le 29 juin 2015, la plainte est en l'espèce recevable.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ces fors ayant un caractère exclusif et impératif.</w:t>
      </w:r>
    </w:p>
    <w:p>
      <w:r>
        <w:rPr>
          <w:b/>
        </w:rPr>
        <w:t>E. 2.2</w:t>
      </w:r>
    </w:p>
    <w:p>
      <w:r>
        <w:t>L'art. 46 al. 1 LP prévoit que le for ordinaire de la poursuite d’une personne physique est au domicile du débiteur.</w:t>
      </w:r>
    </w:p>
    <w:p>
      <w:r>
        <w:t>- 4/6 -</w:t>
      </w:r>
    </w:p>
    <w:p>
      <w:r>
        <w:t>A/2388/2015-CS Ce domicile est déterminé selon les critères fixés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physique, le lieu indiqué par celle-ci n'est pas toujours décisif. L’intention de s’établir peut se concrétiser, sans égard au statut de la personne du point de vue de la police des étrangers, des autorités fiscales ou des assurances sociales. Les documents établis par de telles autorités constituent des indices sérieux de l’existence du domicile, propres à faire naître une présomption de fait à cet égard ; toutefois, cette présomption peut être renversée par des preuves contraires (ATF 125 III 100 consid. 3; 120 III 7 consid. 2b).</w:t>
      </w:r>
    </w:p>
    <w:p>
      <w:r>
        <w:rPr>
          <w:b/>
        </w:rPr>
        <w:t>E. 2.3</w:t>
      </w:r>
    </w:p>
    <w:p>
      <w:r>
        <w:t>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w:t>
      </w:r>
    </w:p>
    <w:p>
      <w:r>
        <w:rPr>
          <w:b/>
        </w:rPr>
        <w:t>E. 2.4</w:t>
      </w:r>
    </w:p>
    <w:p>
      <w:r>
        <w:t>En l'espèce, il est établi par le biais de l’attestation fournie au créancier le 30 avril 2015 par le Contrôle de l’habitant de X______/VD que le débiteur était toujours inscrit dans cette commune comme y étant domicilié. Conformément aux principes rappelés ci-dessus sous ch. 2.2, ce document fait dès lors naître une présomption de fait en faveur du maintien de son domicile à X______/VD à cette date du 30 avril 2015. Pour renverser cette présomption, le plaignant s’appuie sur les déclarations de l’épouse du débiteur à l’agent notificateur vaudois, dont il ressort que son époux aurait quitté le domicile conjugal pour s’installer à Genève, à son adresse professionnelle. Cette indication ne permet toutefois pas de retenir que ledit débiteur aurait effectivement transféré, au jour de la réquisition de poursuite formée par le plaignant le 20 mai 2015, le centre de ses intérêts personnels à Genève, à côté de celui de ses intérêts professionnels au xx Place B______. À cet égard, l’attestation de l’Office cantonal de la population de Genève, établie le 12 mai 2015, n’est d’aucun secours au plaignant, puisqu’il en ressort au contraire que le débiteur ne s’est pas non plus constitué un nouveau domicile officiel à Genève.</w:t>
      </w:r>
    </w:p>
    <w:p>
      <w:r>
        <w:t>- 5/6 -</w:t>
      </w:r>
    </w:p>
    <w:p>
      <w:r>
        <w:t>A/2388/2015-CS Vu l’ensemble de ce qui précède, il aurait encore appartenu au créancier plaignant, avant de requérir une poursuite à Genève à l'encontre dudit débiteur, de se renseigner auprès des organes de la société anonyme employant ce dernier dans ses locaux des xx Place B______, pour connaître son lieu de résidence personnel effectif à Genève où cette poursuite pourrait lui être notifiée. Il aurait ensuite incombé à l’Office de vérifier ces informations et de notifier la poursuite requise à ce lieu de résidence personnel effectif du débiteur à Genève, s'il existait. En l’état toutefois, vu l’absence d’indications à cet égard, la Chambre de surveillance doit encore considérer que la présomption de fait créée par l'attestation de domicile vaudoise produite par le plaignant n'était pas renversée et qu’il était établi que le débiteur était encore, au jour du dépôt par le plaignant de sa réquisition de poursuite à Genève, domicilié en Suisse, en particulier à X______/VD. Dans ces circonstances, l’Office était incompétent ratione loci pout lui notifier une poursuite à Genève, fut-ce par voie édictale, de sorte que c’est à bon droit qu’il a refusé d'exécuter la réquisition de poursuite déposée par le plaignant. La plainte de ce dernier sera par conséquent rejetée.</w:t>
      </w:r>
    </w:p>
    <w:p>
      <w:r>
        <w:rPr>
          <w:b/>
        </w:rPr>
        <w:t>E. 3</w:t>
      </w:r>
    </w:p>
    <w:p>
      <w:r>
        <w:t>La procédure de plainte est gratuite (art. 20a al. 2 ch. 5 LP et art. 61 al. 2 let. a OELP) et il ne peut être alloué aucun dépens dans cette procédure (art. 62 al. 2 OELP). * * * * *</w:t>
      </w:r>
    </w:p>
    <w:p>
      <w:r>
        <w:t>- 6/6 -</w:t>
      </w:r>
    </w:p>
    <w:p>
      <w:r>
        <w:t>A/2388/2015-CS PAR CES MOTIFS, La Chambre de surveillance : A la forme : Déclare recevable la plainte formée le 9 juillet 2015 par M. D______ contre la décision de refus de notification d’un commandement de payer à l’encontre de M. S______ prise par l’Office des poursuites le 24 juin 2015. Au fond : Rejette cette plainte. Déboute les parties de toutes autres conclusions. Siégeant : Madame Valérie LAEMMEL JUILLARD, présidente; Monsieur Philipp GANZONI et Monsieur Mathieu HOWALD, juges assesseurs; Madame Véronique PISCETTA, greffière.</w:t>
      </w:r>
    </w:p>
    <w:p>
      <w:r>
        <w:t>La présidente : Valérie LAEMMEL JUILLARD</w:t>
      </w:r>
    </w:p>
    <w:p>
      <w:r>
        <w:t>La greffière : Véronique PISCETTA</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