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DCSO/323/2019 vom 8. August 2019</w:t>
      </w:r>
    </w:p>
    <w:p>
      <w:r>
        <w:t>GE Cour de justice, 2019-08-08, FR</w:t>
      </w:r>
    </w:p>
    <w:p>
      <w:r>
        <w:rPr>
          <w:b/>
        </w:rPr>
        <w:t xml:space="preserve">Quelle: </w:t>
      </w:r>
      <w:r>
        <w:t>https://mcp.opencaselaw.ch/entscheid/ge_gerichte_DCSO_323_2019</w:t>
      </w:r>
    </w:p>
    <w:p>
      <w:r>
        <w:t>FR: GE_GERICHTE DCSO/323/2019 du 8 août 2019</w:t>
      </w:r>
    </w:p>
    <w:p>
      <w:r>
        <w:t>IT: GE_GERICHTE DCSO/323/2019 del 8 agosto 2019</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 tel le procès-verbal de non-lieu de saisie.</w:t>
      </w:r>
    </w:p>
    <w:p>
      <w:r>
        <w:t>Formée dans le délai légal de dix jours, échéant le lundi 15 avril 2019 (art. 17 al. 2 et 31 LP; art. 142 al. 3 LPC) et répondant aux exigences de forme (art. 9 al. 1 LaLP et art. 65 al. 1 et 2 LPA applicable par renvoi de l'art. 9 al. 4 LaLP), la plainte est recevable.</w:t>
      </w:r>
    </w:p>
    <w:p>
      <w:r>
        <w:rPr>
          <w:b/>
        </w:rPr>
        <w:t>E. 2</w:t>
      </w:r>
    </w:p>
    <w:p>
      <w:r>
        <w:t>2.1.1. Saisi d'une réquisition de poursuite, l'office n'est pas tenu de rechercher le domicile du débiteur. Il doit cependant vérifier les indications données par le créancier, dès lors que sa compétence en dépend (FAVRE, Droit des poursuites, 3e éd., p. 129 ch. 2; GILLIERON, Poursuite pour dettes, faillite et concordat, 3e éd., Lausanne 1993, p. 125/126 ch. 2). En cas de changement de domicile du débiteur en cours de poursuite, il doit examiner d'office si ce changement est intervenu avant ou après le moment déterminant selon l'art. 53 LP (FRITSCHE/WALDER, Schuldbetreibung und Konkurs nach schweizerischem Recht, vol. I, 3e éd., Zurich 1984, § 11 BGE 120 III 110 S. 112 n. 8). De leur côté, les autorités de surveillance doivent veiller, à chaque stade de la procédure, au respect des règles de compétence; elles interviennent d'office si l'intérêt public ou les intérêts de tiers sont en jeu, sur plainte si seuls les intérêts des parties à la procédure sont touchés (AMONN, Grundriss des Schuldbetreibungs- und Konkursrechts, 5e éd., Berne 1993, § 10 n. 31 ss).</w:t>
      </w:r>
    </w:p>
    <w:p>
      <w:r>
        <w:t>2.1.2. L'engagement et le déroulement d'une procédure d'exécution forcée supposent l'existence d'un for de la poursuite contre le poursuivi. La LP définit le for ordinaire de la poursuite (art. 46 LP) et un nombre limité de fors spéciaux (art. 48 à 52 LP).</w:t>
      </w:r>
    </w:p>
    <w:p>
      <w:r>
        <w:t>Contre le débiteur qui n'a ni domicile ni lieu de séjour en Suisse, la poursuite n'est possible, si son lieu de séjour à l'étranger est connu, que dans les cas des art. 50 - 52 LP (ATF 119 III 54 consid. 2a p. 55 et les références; JÄGER, Commentaire LP, ad art. 46 n. 3 let. C; GILLIERON, op.cit., p. 84/85 let. C).</w:t>
      </w:r>
    </w:p>
    <w:p>
      <w:r>
        <w:t>- 6/8 -</w:t>
      </w:r>
    </w:p>
    <w:p>
      <w:r>
        <w:t>A/1532/2019-CS</w:t>
      </w:r>
    </w:p>
    <w:p>
      <w:r>
        <w:t>2.1.3. Aux termes de l'art. 50 al. 2 LP, le débiteur domicilié à l'étranger, qui a élu domicile en Suisse pour l'exécution d'une obligation, peut y être poursuivi pour cette dette. Lorsque le débiteur a un domicile en Suisse, c'est à ce domicile qu'il doit être poursuivi (art. 46 al. 1 LP) et il ne peut y être dérogé par une élection de for. L'art. 50 al. 2 LP, qui constitue la seule exception à la règle selon laquelle les parties ne sont pas habilitées à déterminer un for de poursuite selon leur gré, est donc, en principe, inapplicable au débiteur domicilié en Suisse. Le débiteur peut toutefois élire un domicile spécial en Suisse pour le cas où il viendrait à transférer par la suite son domicile à l'étranger; dans cette hypothèse et pour autant que le changement de domicile ait été effectif au moment de la poursuite, le domicile élu ne peut pas entrer en conflit avec un domicile réel en Suisse et rien ne s'oppose dès lors à ce que la clause d'élection de domicile déploie les mêmes effets que si elle avait été convenue par un débiteur déjà domicilié à l'étranger (arrêt du Tribunal fédéral 5A_511/2012 du 8 octobre 2012, consid. 4.1, et les références).</w:t>
      </w:r>
    </w:p>
    <w:p>
      <w:r>
        <w:t>2.2.1. L'élection d'un for de la poursuite est une manifestation de volonté qui doit être interprétée selon les mêmes principes que les autres contrats (ATF 132 III 268 consid. 2.3.2). Comme pour toutes dispositions contractuelles,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133 III 675 consid. 3.3; 132 III 268 consid. 2.3.2, 626 consid. 3.1; 131 III 606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(arrêt 5A_198/2008 du 26 septembre 2008 consid. 4.1)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ATF 133 III 675 consid. 3.3; 132 III 268 consid. 2.3.2, 626 consid. 3.1). Ce principe permet d'imputer à une partie le sens objectif de sa déclaration ou de son comportement, même si celui-ci ne correspond pas à sa volonté intime (ATF 133 III 675 consid. 3.3; 130 III 417 consid. 3.2; 129 III 118 consid. 2.5; 128 III 419 consid. 2.2).</w:t>
      </w:r>
    </w:p>
    <w:p>
      <w:r>
        <w:t>2.2.2. L'application de l'art. 50 al. 2 LP ne suppose pas nécessairement qu'il y ait eu stipulation expresse d'un for de poursuite en Suisse; il suffit que, compte tenu des circonstances et des règles de la bonne foi, on doive admettre que le débiteur a manifesté la volonté de se soumettre à une exécution forcée en Suisse (ATF 68 III 61; 86 III 81 consid. 2; arrêt 7B.55/2006 du 21 septembre 2006 consid. 2.2.2; arrêt</w:t>
      </w:r>
    </w:p>
    <w:p>
      <w:r>
        <w:t>- 7/8 -</w:t>
      </w:r>
    </w:p>
    <w:p>
      <w:r>
        <w:t>A/1532/2019-CS 5A_139/2009 du 18 mai 2009 consid. 2.2). Une élection du for pour la poursuite peut être convenue par adhésion à des conditions générales (cf. Décision de l'Autorité de surveillance des Offices des poursuites et faillites du canton de Bâle- ville du 18 janvier 2002, in BlSchK 2002, p. 195 ss; s'agissant d'une prorogation de for en cas de litige, cf. ATF 132 III 268 consid. 2.3).</w:t>
      </w:r>
    </w:p>
    <w:p>
      <w:r>
        <w:t>2.3.1. En l'espèce, l'existence d'un for de la poursuite à Genève, fondé sur l'art. 50 al. 2 LP, est donnée. Cela ressort tant du "contrat cadre A______ pour un crédit hypothécaire", que du contrat de cautionnement (ch. 9), étant observé que la ville du siège suisse de la banque où se trouve la relation d'affaires est bien Genève, les accords ayant été passés avec la succursale de Genève de la A______ (Suisse) SA.</w:t>
      </w:r>
    </w:p>
    <w:p>
      <w:r>
        <w:t>Le poursuivi n'a du reste pas soutenu le contraire tout au long de la procédure d'exécution forcée et a ainsi manifesté, de bonne foi, sa volonté de se soumettre à une exécution forcée en Suisse. Bien qu'il allègue, dans sa réponse à la plainte, être domicilié à Monaco depuis décembre 2013, B______ n'a pas contesté l'existence d'un for de la poursuite en Suisse lors de la notification, le 28 mars 2017 à Genève, du commandement de payer. Il ne l'a pas non plus contesté au cours de la procédure judiciaire de mainlevée, ce que le tribunal de première instance a constaté. Enfin, conformément à la jurisprudence susmentionnée, l'élection d'un for de poursuite en Suisse peut aussi être convenue à l'égard du débiteur domicilié en Suisse, pour le cas où il viendrait à transférer par la suite son domicile à l'étranger.</w:t>
      </w:r>
    </w:p>
    <w:p>
      <w:r>
        <w:t>Il résulte en outre du dossier que B______ a eu connaissance de l'avis de saisie, expédié le 3 janvier 2019 par l'Office à l'adresse de sa résidence genevoise. Son conseil, dans son courrier du 15 janvier 2019 à l'Office, n'a pas contesté cette communication, ni porté plainte à cet égard, se limitant à demander l'annulation de la saisie fixée au 21 janvier 2019, dans l'attente de l'issue de la requête d'effet suspensif déposée devant le Tribunal fédéral dans le cadre de la procédure de mainlevée (art. 90 et 34 LP).</w:t>
      </w:r>
    </w:p>
    <w:p>
      <w:r>
        <w:t>Eu égard à ces considérations, c'est à juste titre que l'Office a procédé à la notification du commandement de payer puis, sur réquisition de continuer la poursuite, aux actes préparatoires à l'exécution de la saisie. En revanche, la renonciation de l'Office à procéder à la saisie des biens du débiteur, fondée sur l'absence d'un for de la poursuite, est erronée. La plainte est donc bien fondée et le procès-verbal de non-lieu de saisie du 2 avril 2019 doit être annulé.</w:t>
      </w:r>
    </w:p>
    <w:p>
      <w:r>
        <w:t>* * * * *</w:t>
      </w:r>
    </w:p>
    <w:p>
      <w:r>
        <w:t>- 8/8 -</w:t>
      </w:r>
    </w:p>
    <w:p>
      <w:r>
        <w:t>A/1532/2019-CS PAR CES MOTIFS, La Chambre de surveillance : A la forme : Déclare recevable la plainte formée le 15 avril 2019 par A______(Suisse) SA contre le procès-verbal de non-lieu de saisie du 2 avril 2019, série 6______, dans la poursuite n° 4______. Au fond : L'admet. Annule le dit procès-verbal de non-lieu de saisie et invite l’Office des poursuites à procéder à la saisie des avoirs de B______. Siégeant : Madame Verena PEDRAZZINI RIZZI, présidente; Messieurs Michel BERTSCHY et Claude MARCET, juges assesseurs ;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