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DCSO/323/2015 vom 15. Oktober 2015</w:t>
      </w:r>
    </w:p>
    <w:p>
      <w:r>
        <w:t>GE Cour de justice, 2015-10-15, FR</w:t>
      </w:r>
    </w:p>
    <w:p>
      <w:r>
        <w:rPr>
          <w:b/>
        </w:rPr>
        <w:t xml:space="preserve">Quelle: </w:t>
      </w:r>
      <w:r>
        <w:t>https://mcp.opencaselaw.ch/entscheid/ge_gerichte_DCSO_323_2015</w:t>
      </w:r>
    </w:p>
    <w:p>
      <w:r>
        <w:t>FR: GE_GERICHTE DCSO/323/2015 du 15 octobre 2015</w:t>
      </w:r>
    </w:p>
    <w:p>
      <w:r>
        <w:t>IT: GE_GERICHTE DCSO/323/2015 del 15 ottobre 2015</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w:t>
      </w:r>
    </w:p>
    <w:p>
      <w:r>
        <w:t>Il est constant que la décision de l'Office relative à l'exécution d'une ordonnance de séquestre est une mesure sujette à plainte, que le plaignant, débiteur séquestré, a qualité pour contester par cette voie (arrêt du Tribunal fédéral 5A_883/2012 du 18 janvier 2013, consid. 6.1.1).</w:t>
      </w:r>
    </w:p>
    <w:p>
      <w:r>
        <w:rPr>
          <w:b/>
        </w:rPr>
        <w:t>E. 1.2</w:t>
      </w:r>
    </w:p>
    <w:p>
      <w:r>
        <w:t>La plainte contre une mesure de l'Office doit être déposée dans les dix jours suivant celui où le plaignant a eu connaissance de la décision attaquée (art. 17 al. 2 LP).</w:t>
      </w:r>
    </w:p>
    <w:p>
      <w:r>
        <w:t>En l'espèce, formée le lundi 13 juillet 2015 contre une décision reçue le 2 juillet précédent, la présente plainte a été interjetée en temps utile, le dernier jour du délai légal échéant le dimanche 12 juillet et devant dès lors être reporté au lundi suivant (art. 31 al.</w:t>
      </w:r>
    </w:p>
    <w:p>
      <w:r>
        <w:rPr>
          <w:b/>
        </w:rPr>
        <w:t>E. 3</w:t>
      </w:r>
    </w:p>
    <w:p>
      <w:r>
        <w:t>Il s'en prend en revanche à la quotité de la créance fondant ledit séquestre.</w:t>
      </w:r>
    </w:p>
    <w:p>
      <w:r>
        <w:rPr>
          <w:b/>
        </w:rPr>
        <w:t>E. 3.1</w:t>
      </w:r>
    </w:p>
    <w:p>
      <w:r>
        <w:t>La finalité du droit des poursuites est essentiellement de permettre le recouvrement de sommes d’argent ou la fourniture de sûretés (art. 38 al. 1 LP).</w:t>
      </w:r>
    </w:p>
    <w:p>
      <w:r>
        <w:t>Le droit de l’exécution forcée permet ainsi à un soi-disant créancier de poursuivre un prétendu débiteur en recouvrement d’une prétention sans devoir prouver l’existence de cette dernière.</w:t>
      </w:r>
    </w:p>
    <w:p>
      <w:r>
        <w:t>Sous réserve d'un abus de droit, il n’appartient dès lors ni aux offices des poursuites ni aux autorités de surveillance de revoir la justification des créances à l'origine de la</w:t>
      </w:r>
    </w:p>
    <w:p>
      <w:r>
        <w:t>- 4/6 –</w:t>
      </w:r>
    </w:p>
    <w:p>
      <w:r>
        <w:t>A/2447/2015-CS</w:t>
      </w:r>
    </w:p>
    <w:p>
      <w:r>
        <w:t>procédure de réalisation forcée, partant, de décider si une prétention est exigée à bon droit ou non (ATF 115 III 18 consid. 3b ; ATF non publié 7B.219/2006 et 7B.220/2006 du 16 avril 2007 consid. 3.3).</w:t>
      </w:r>
    </w:p>
    <w:p>
      <w:r>
        <w:t>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(ATF 115 III 18 consid. 3b, SJ 1989 p. 400, JdT 1991 II 76; ATF 113 III 2, JdT 1989 II 121 ATF 112 III 47 consid. 1, JdT 1988 II 145; SJ 1987 p. 156).</w:t>
      </w:r>
    </w:p>
    <w:p>
      <w:r>
        <w:rPr>
          <w:b/>
        </w:rPr>
        <w:t>E. 3.2</w:t>
      </w:r>
    </w:p>
    <w:p>
      <w:r>
        <w:t>En l'espèce, le plaignant ne conteste pas être le débiteur des sommes qui lui sont réclamées par la créancière citée, par le biais de l'ordonnance de séquestre en question. Il se borne à demander que le changement dans la quotité de la créance fondant cette ordonnance - intervenu à la suite du prononcé ultérieur à celui de cette ordonnance de séquestre d'un arrêt de la Cour de justice sur appel du débiteur - soit pris en compte par l'Office dans l'exécution de ce séquestre par la voie de la saisie.</w:t>
      </w:r>
    </w:p>
    <w:p>
      <w:r>
        <w:t>En d'autres termes, il aborde une question de fond, et non pas de validité formelle de l'ordonnance de séquestre, qui échappe à la compétence tant de l'Office que de la Chambre de surveillance.</w:t>
      </w:r>
    </w:p>
    <w:p>
      <w:r>
        <w:t>Un abus de droit manifeste au sens des principes rappelés ci-dessus n'est par ailleurs pas réalisé dans le cadre de la décision d'exécution par l'Office du séquestre en question, au vu des faits de la cause, de sorte que la présente plainte est partiellement irrecevable s'agissant de ce premier grief du plaignant.</w:t>
      </w:r>
    </w:p>
    <w:p>
      <w:r>
        <w:rPr>
          <w:b/>
        </w:rPr>
        <w:t>E. 4</w:t>
      </w:r>
    </w:p>
    <w:p>
      <w:r>
        <w:t>Ce dernier fait en outre valoir que la contribution d'entretien à sa charge n'a pas été incluse par l'Office dans ses charges pour la détermination de son minimum vital insaisissable dans le cadre de l'exécution de l'ordonnance de séquestre par la voie de la saisie.</w:t>
      </w:r>
    </w:p>
    <w:p>
      <w:r>
        <w:t>Ce grief est recevable dans le cadre d'une plainte fondée sur l'art. 17 LP et il sera dès lors examiné ci-dessous.</w:t>
      </w:r>
    </w:p>
    <w:p>
      <w:r>
        <w:rPr>
          <w:b/>
        </w:rPr>
        <w:t>E. 4.1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w:t>
      </w:r>
    </w:p>
    <w:p>
      <w:r>
        <w:t>- 5/6 –</w:t>
      </w:r>
    </w:p>
    <w:p>
      <w:r>
        <w:t>A/2447/2015-CS</w:t>
      </w:r>
    </w:p>
    <w:p>
      <w:r>
        <w:t>surveillance (ci-après: Normes d'insaisissabilité, RS/GE E 3 60.04; OCHSNER, Le minimum vital (art. 93 al. 1 LP), in SJ 2012 II p. 119 ss, 123; COLLAUD, Le minimum vital selon l'article 93 LP, in RFJ 2012 p. 299 ss, 303; arrêt du Tribunal fédéral 5A_919/2012 du 11 février 2013 consid. 4.3.1).</w:t>
      </w:r>
    </w:p>
    <w:p>
      <w:r>
        <w:t>Toutefois, seuls les montants effectivement payés doivent être pris en compte (OCHSNER, in CR-LP, n. 82 s. ad art. 93 LP, et in SJ 2012 II p. 119 ss, 127; COLLAUD, op. cit., p. 309). Si des charges sont payées irrégulièrement, l'Office ne pourra tenir compte que d'un montant correspondant à la moyenne des montants acquittés durant l'année précédant la saisie, encore qu'il peut retenir la charge effective si le débiteur démontre qu'il entend désormais assumer celle-ci et qu'il a déjà effectué au moins un premier versement (COLLAUD, op. cit., p. 309 s.; SJ 2000 II 213.</w:t>
      </w:r>
    </w:p>
    <w:p>
      <w:r>
        <w:rPr>
          <w:b/>
        </w:rPr>
        <w:t>E. 4.2</w:t>
      </w:r>
    </w:p>
    <w:p>
      <w:r>
        <w:t>En l'espèce, le plaignant a vu son salaire séquestré précisément parce qu'il n'avait pas payé les contributions d'entretien mensuelles dont il demande la prise en compte dans son minimum vital insaisissable.</w:t>
      </w:r>
    </w:p>
    <w:p>
      <w:r>
        <w:t>A cet égard en outre la lettre du SCARPA, adressée au plaignant en mars 2015 et qui est ainsi antérieure au prononcé du séquestre en cause, début mai 2015, ne démontre en rien que ledit plaignant débiteur aurait effectivement payé tout ou partie des contributions d'entretien à sa charge avant le prononcé de ce séquestre ou par la suite.</w:t>
      </w:r>
    </w:p>
    <w:p>
      <w:r>
        <w:t>Sa plainte doit dès lors être rejetée, s'agissant de ce second grief.</w:t>
      </w:r>
    </w:p>
    <w:p>
      <w:r>
        <w:rPr>
          <w:b/>
        </w:rPr>
        <w:t>E. 5</w:t>
      </w:r>
    </w:p>
    <w:p>
      <w:r>
        <w:t>La procédure de plainte est gratuite (art. 20a al. 2 ch. 5 LP et art. 61 al. 2 let. a OELP) et il ne peut être alloué aucun dépens dans cette procédure (art. 62 al. 2 OELP). * * * * *</w:t>
      </w:r>
    </w:p>
    <w:p>
      <w:r>
        <w:t>- 6/6 –</w:t>
      </w:r>
    </w:p>
    <w:p>
      <w:r>
        <w:t>A/2447/2015-CS</w:t>
      </w:r>
    </w:p>
    <w:p>
      <w:r>
        <w:t>PAR CES MOTIFS, La Chambre de surveillance :</w:t>
      </w:r>
    </w:p>
    <w:p>
      <w:r>
        <w:t>A la forme : Déclare partiellement recevable la plainte formée le 13 juillet 2015 par M. T______ contre la décision de l'Office des poursuites du 30 juin 2015 portant sur l'exécution du séquestre n° 15 xxxxx4 X.</w:t>
      </w:r>
    </w:p>
    <w:p>
      <w:r>
        <w:t>Au fond : La rejette.</w:t>
      </w:r>
    </w:p>
    <w:p>
      <w:r>
        <w:t>Siégeant : Madame Valérie LAEMMEL-JUILLARD, présidente; Monsieur Philipp GANZONI et Monsieur Mathieu HOWALD, juges assesseurs; Madame Angela FERRECCHIA PICCOLI, greffière.</w:t>
      </w:r>
    </w:p>
    <w:p>
      <w:r>
        <w:t>La présidente : Valérie LAEMMEL-JUILLARD</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