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DCSO/322/2019 vom 8. August 2019</w:t>
      </w:r>
    </w:p>
    <w:p>
      <w:r>
        <w:t>GE Cour de justice, 2019-08-08, FR</w:t>
      </w:r>
    </w:p>
    <w:p>
      <w:r>
        <w:rPr>
          <w:b/>
        </w:rPr>
        <w:t xml:space="preserve">Quelle: </w:t>
      </w:r>
      <w:r>
        <w:t>https://mcp.opencaselaw.ch/entscheid/ge_gerichte_DCSO_322_2019</w:t>
      </w:r>
    </w:p>
    <w:p>
      <w:r>
        <w:t>FR: GE_GERICHTE DCSO/322/2019 du 8 août 2019</w:t>
      </w:r>
    </w:p>
    <w:p>
      <w:r>
        <w:t>IT: GE_GERICHTE DCSO/322/2019 del 8 agosto 2019</w:t>
      </w:r>
    </w:p>
    <w:p>
      <w:pPr>
        <w:pStyle w:val="Heading2"/>
      </w:pPr>
      <w:r>
        <w:t>Erwägungen</w:t>
      </w:r>
    </w:p>
    <w:p>
      <w:r>
        <w:rPr>
          <w:b/>
        </w:rPr>
        <w:t>E. 1</w:t>
      </w:r>
    </w:p>
    <w:p>
      <w:r>
        <w:t>Les deux plaintes sont recevables pour avoir été déposées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de mesures de l'Office sujettes à plainte, telles le procès- verbal de saisie et la facture sur les frais.</w:t>
      </w:r>
    </w:p>
    <w:p>
      <w:r>
        <w:rPr>
          <w:b/>
        </w:rPr>
        <w:t>E. 2</w:t>
      </w:r>
    </w:p>
    <w:p>
      <w:r>
        <w:t>2.1.1. Lorsque le débiteur est sujet à la poursuite par voie de saisie, l'Office, après réception de la réquisition de continuer la poursuite, procède à la saisie ou y fait procéder par l'office du lieu où se trouvent les biens à saisir (art. 89 LP).</w:t>
      </w:r>
    </w:p>
    <w:p>
      <w:r>
        <w:t>L'office en charge de l'exécution de la saisie doit adopter un comportement actif et une position critique, de sorte qu'il ne peut s'en remettre, sans les vérifier, aux seules déclarations du débiteur quant à ses biens et revenus (cf. art. 91 LP). Afin de pourvoir au meilleur désintéressement possible des créanciers, il doit procéder avec diligence, autorité et souci de découvrir les droits patrimoniaux du poursuivi. Il est doté à cette fin de pouvoirs d'investigation et de coercition étendus, "à l'instar d'un juge chargé d'instruire une enquête pénale ou d'un officier de police judiciaire" (cf. arrêt du Tribunal fédéral 5A_267/2009, du 5 juin 2009 consid. 3.1; GILLIERON, Commentaire de la loi fédérale sur la poursuite pour dettes et la faillite, n. 12 ad art. 91 LP).</w:t>
      </w:r>
    </w:p>
    <w:p>
      <w:r>
        <w:t>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CR LP, n° 25 ad art. 93; JEANDIN, CR LP, n° 15 ad art. 91).</w:t>
      </w:r>
    </w:p>
    <w:p>
      <w:r>
        <w:t>2.1.2. Sont notamment saisissables les revenus que le débiteur tire de son activité professionnelle, sous déduction de la somme indispensable à son entretien et à celui de sa famille (art. 93 al. 1 LP).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NI-2019; OCHSNER, Le minimum vital (art. 93 al. 1 LP), in SJ 2012 II p. 119 ss, 123).</w:t>
      </w:r>
    </w:p>
    <w:p>
      <w:r>
        <w:t>- 6/12 -</w:t>
      </w:r>
    </w:p>
    <w:p>
      <w:r>
        <w:t>A/209/2019-CS</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(art. 93 al. 1 LP), in SJ 2012 II p. 119 ss., p. 128). D'autres charges indispensables, comme les frais de logement proportionnés à la situation économique et personnelle du débiteur (art. II.1 et II.3 NI-2019), les primes d'assurance-maladie obligatoire (art. II.3 NI- 2019) et les frais de déplacement du domicile au lieu de travail (art. II.4 let. d NI- 2019), doivent être ajoutés à cette base mensuelle d'entretien, pour autant qu'elles soient effectivement payées (OCHSNER, in CR-LP, n° 82 ad art. 93 LP).</w:t>
      </w:r>
    </w:p>
    <w:p>
      <w:r>
        <w:t>2.1.3. Si la saisie porte sur la partie du revenu du débiteur excédant son minimum vital, au sens de l'art. 93 al. 1 LP, il est opportun, afin d'éviter des demandes de renseignements complémentaires de la part des créanciers, que la manière dont l'office a calculé ce minimum vital soit communiquée en même temps que le procès-verbal de saisie (ATF 127 III 572 consid. 3b).</w:t>
      </w:r>
    </w:p>
    <w:p>
      <w:r>
        <w:t>2.2.1. Le plaignant reproche en premier lieu à l'Office d'avoir insuffisamment investigué la situation financière du débiteur au moment d'exécuter la saisie, le 20 novembre 2018.</w:t>
      </w:r>
    </w:p>
    <w:p>
      <w:r>
        <w:t>Ce reproche est justifié. En effet, l'Office a fixé le minimum vital du débiteur sans procéder à une quelconque investigation, se limitant à se référer à un "constat antérieur". Or, s'il n'est en soi pas inadmissible de se référer à une précédente analyse de la situation, pour autant qu'elle soit récente et que l'on puisse sérieusement penser qu'elle est toujours d'actualité, force est de constater qu'en l'espèce le procès-verbal de saisie querellé ne contient aucune indication quant à la date à laquelle ledit constat antérieur aurait été effectué. L'Office n'a pas été plus explicite à ce sujet dans ses déterminations consécutives au dépôt de la plainte.</w:t>
      </w:r>
    </w:p>
    <w:p>
      <w:r>
        <w:t>L'absence totale d'investigations apparait d'autant moins appropriée en l'espèce que le poursuivi est salarié d'une société dont il est l'administrateur unique, de sorte qu'il peut notamment exercer une influence sur les attestations et pièces qui émanent de celle-ci.</w:t>
      </w:r>
    </w:p>
    <w:p>
      <w:r>
        <w:t>L'Office a certes, après le dépôt de la plainte, interrogé le poursuivi et obtenu quelques pièces justificatives. Il ne ressort toutefois pas du dossier qu'il aurait interpellé les établissements bancaires de la place, et ce alors même que le plaignant a notamment relevé que le salaire du poursuivi, mentionné sur les bulletins de salaire, n'était pas intégralement versé sur le compte auprès de F______. Un tel acte d'instruction apparait d'autant plus approprié que le poursuivi a été taxé d'office, de sorte que l'Office n'a pas pu prendre connaissance de ses déclarations fiscales.</w:t>
      </w:r>
    </w:p>
    <w:p>
      <w:r>
        <w:t>- 7/12 -</w:t>
      </w:r>
    </w:p>
    <w:p>
      <w:r>
        <w:t>A/209/2019-CS</w:t>
      </w:r>
    </w:p>
    <w:p>
      <w:r>
        <w:t>Il ne ressort pas non plus du protocole d'audition du débiteur du 29 mars 2019 que l'Office aurait interrogé le poursuivi sur l'exercice d'éventuelles autres activités susceptibles de dégager des revenus, alors que le plaignant a notamment mis en évidence une nouvelle inscription du poursuivi au registre du commerce en tant que directeur de société. L'Office n'a pas non plus obtenu un extrait complet des mouvements sur le compte auprès de F______ respectivement sur le compte de la carte de crédit prépayée, de sorte qu'il n'est pas possible de faire les recoupements utiles.</w:t>
      </w:r>
    </w:p>
    <w:p>
      <w:r>
        <w:t>Or, dans la mesure où le plaignant a mis en évidence certaines incohérences et lacunes dans les informations fournies par le poursuivi, lequel s'est montré peu collaborant et transparent, il incombe à l'Office d'utiliser les pouvoirs dont il dispose pour vérifier l'existence d'éventuels autres actifs et le cas échéant de les saisir.</w:t>
      </w:r>
    </w:p>
    <w:p>
      <w:r>
        <w:t>2.2.2. Le plaignant s'en prend ensuite à certaines charges prises en considération par l'Office dans le calcul du minimum vital du poursuivi (frais de logement et frais de transport). Là encore, ces griefs sont pour l'essentiel fondés.</w:t>
      </w:r>
    </w:p>
    <w:p>
      <w:r>
        <w:t>Les frais de logement invoqués par la débiteur, soit 720 Eur. par mois, ne sont certes pas excessifs. Ils ne peuvent cependant être pris en considération que s'ils sont effectivement acquittés. Or, leur paiement ne résulte pas de l'extrait d'un compte bancaire, mais uniquement d'une "attestation de loyer" établie par un particulier dont l'on ignore les liens avec le poursuivi. De plus, le procès-verbal d'audition de l'intimé du mois de mars 2019 mentionne que ce dernier serait logé à titre gracieux, ce qui suggère qu'il ne paierait aucun loyer. Il appartiendra donc à l'Office d'interpeller le poursuivi à cet égard et d'obtenir la preuve du paiement effectif du loyer (à la date d'exécution de la saisie).</w:t>
      </w:r>
    </w:p>
    <w:p>
      <w:r>
        <w:t>Quant aux frais de transport, le créancier poursuivant soutient que l'intimé utiliserait la voiture de la société C______ SA, ce qui n'a, semble-t-il, pas non plus été vérifié, étant observé que le compte pertes et profits de cette société pour l'année 2017, que l'Office a produit à l'appui de ses déterminations, mentionne bien des frais de véhicule.</w:t>
      </w:r>
    </w:p>
    <w:p>
      <w:r>
        <w:rPr>
          <w:b/>
        </w:rPr>
        <w:t>E. 2.3</w:t>
      </w:r>
    </w:p>
    <w:p>
      <w:r>
        <w:t>Il résulte de ce qui précède l'obligation pour l'Office d'interpeller le débiteur – préalablement averti de son obligation de collaborer et des conséquences pouvant découler de la violation de cette obligation – sur ces divers éléments. L'Office devra ensuite entreprendre toute mesure utile et proportionnée en vue de la vérification de l'exactitude des déclarations du débiteur et de la détermination de la quotité saisissable conformément aux considérants qui précèdent.</w:t>
      </w:r>
    </w:p>
    <w:p>
      <w:r>
        <w:t>Le procès-verbal de saisie n° 3______ est ainsi annulé et l'Office invité à procéder à de nouvelles investigations avant l'établissement d'un nouveau procès-verbal de saisie, tenant compte des éléments recueillis.</w:t>
      </w:r>
    </w:p>
    <w:p>
      <w:r>
        <w:t>- 8/12 -</w:t>
      </w:r>
    </w:p>
    <w:p>
      <w:r>
        <w:t>A/209/2019-CS</w:t>
      </w:r>
    </w:p>
    <w:p>
      <w:r>
        <w:rPr>
          <w:b/>
        </w:rPr>
        <w:t>E. 3</w:t>
      </w:r>
    </w:p>
    <w:p>
      <w:r>
        <w:t>Dans un second moyen, le plaignant reproche à l'Office d'avoir tardé à exécuter la saisie, permettant ainsi à d'autres créanciers de participer à cette saisie.</w:t>
      </w:r>
    </w:p>
    <w:p>
      <w:r>
        <w:t>3.1.1. A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w:t>
      </w:r>
    </w:p>
    <w:p>
      <w:r>
        <w:t>Si l'office peut certes rencontrer des difficultés pratiques pour exécuter la saisie, en raison par exemple de l’absence du débiteur (GILLIÉRON, Commentaire, ad art. 89 n° 5) ou de la complexité de la situation patrimoniale de celui-ci (DCSO/658/05 consid. 2.a du 27 octobre 2005), il n'en demeure pas moins qu'il doit agir sans désemparer,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t>3.1.2. Des retards dans le traitement d'une réquisition de continuer la poursuite, bien qu'incompatibles avec les exigences légales, n'affectent pas la validité de la procédure mais peuvent donner lieu à une plainte pour retard injustifié voire engager la responsabilité du canton (art. 5 LP), étant par ailleurs rappelé qu'une éventuelle action en responsabilité est de la compétence du Tribunal de première instance (art. 16 LaLP).</w:t>
      </w:r>
    </w:p>
    <w:p>
      <w:r>
        <w:rPr>
          <w:b/>
        </w:rPr>
        <w:t>E. 3.2</w:t>
      </w:r>
    </w:p>
    <w:p>
      <w:r>
        <w:t>En l'espèce, l'Office a enregistré la réquisition de continuer la poursuite du plaignant le 14 février 2018 et a adressé l'avis de saisie au débiteur le 19 février 2018, soit quelques jours plus tard, agissant ainsi avec la célérité requise. Il a ensuite attendu le 18 avril 2018, soit trois semaines après l'échec de la première convocation pour le 22 mars 2018, pour adresser l'avis de sommation, ce qui n'est pas critiquable compte tenu des temps prohibés afférents à la période de Pâques, qui était tombée cette année-là le 1er avril (cf. art. 56 ch. 2 LP).</w:t>
      </w:r>
    </w:p>
    <w:p>
      <w:r>
        <w:t>Le délai de convocation de deux mois (pour le 14 juin 2018) prévu par la sommation du 18 avril 2018 apparait en revanche excessivement long, l'Office n'ayant pas fait état de circonstances particulières justifiant qu'il aménage au débiteur récalcitrant un intervalle encore plus long que celui fixé lors de la première convocation. Deux mois se sont encore écoulés avant que l'huissier ne se rende à l'adresse du débiteur – soit les locaux de sa société – puis encore trois mois avant qu'il ne soit procédé à la saisie de salaire, ce qui est excessif. Les problèmes allégués par l'Office relatifs à la difficulté de localiser le débiteur ou à l'état de santé de celui-ci ne sauraient justifier de tels atermoiements, ce d'autant</w:t>
      </w:r>
    </w:p>
    <w:p>
      <w:r>
        <w:t>- 9/12 -</w:t>
      </w:r>
    </w:p>
    <w:p>
      <w:r>
        <w:t>A/209/2019-CS qu'il s'agit d'un débiteur connu de l'Office, dont l'adresse n'avait pas changé. L'Office n'a d'ailleurs eu aucune peine à interroger le poursuivi le 29 janvier 2019, soit à peine quelques jours après avoir eu connaissance de la plainte.</w:t>
      </w:r>
    </w:p>
    <w:p>
      <w:r>
        <w:t>Il s'ensuit que l'Office a tardé de manière injustifiée à traiter la réquisition de continuer la poursuite, ce qui sera constaté.</w:t>
      </w:r>
    </w:p>
    <w:p>
      <w:r>
        <w:t>Ce retard a certes eu pour conséquence que le plaignant a participé à la saisie avec d'autres créanciers qui ont requis la continuation de la poursuite plusieurs mois après lui, mais avant l'exécution de la saisie (ATF 106 III 111 in JdT 1982 II 98). Cette situation n'affecte toutefois pas la validité de la procédure (RVJ 1984 p. 150, consid. 2b). Le plaignant dispose en revanche de l'action en responsabilité contre le canton, du ressort du juge civil, s'il estime que les conditions en seraient réalisées.</w:t>
      </w:r>
    </w:p>
    <w:p>
      <w:r>
        <w:rPr>
          <w:b/>
        </w:rPr>
        <w:t>E. 4</w:t>
      </w:r>
    </w:p>
    <w:p>
      <w:r>
        <w:t>Le plaignant reproche à l'Office la manière dont il a calculé et réparti entre les différents créanciers les frais de sommation qui lui ont été facturés.</w:t>
      </w:r>
    </w:p>
    <w:p>
      <w:r>
        <w:rPr>
          <w:b/>
        </w:rPr>
        <w:t>E. 4.1</w:t>
      </w:r>
    </w:p>
    <w:p>
      <w:r>
        <w:t>Lorsque la saisie est exécutée simultanément à la réquisition de plusieurs poursuivants, elle est considérée comme une seule saisie et l'émolument est fonction du montant total des prétentions déduites en poursuites. Emoluments et débours sont répartis entre les poursuites au prorata du montant des créances (art. 23 al. 1 et 2 OELP).</w:t>
      </w:r>
    </w:p>
    <w:p>
      <w:r>
        <w:t>Si un créancier occasionne des émoluments et des débours supplémentaires, ceux- ci sont répartis selon le principe de l'auteur-payeur (art. 23 al. 3 OELP).</w:t>
      </w:r>
    </w:p>
    <w:p>
      <w:r>
        <w:t>Les débours, tels les taxes postales, doivent être remboursés (art. 13 al. 1 OELP).</w:t>
      </w:r>
    </w:p>
    <w:p>
      <w:r>
        <w:t>4.2.1. Dans la décision entreprise, l'Office a réparti les frais de sommation d'un total de 19 fr. 50 entre les six créanciers qui, à la date de l'exécution de cet acte, le 18 avril 2018, avaient requis la continuation de la poursuite.</w:t>
      </w:r>
    </w:p>
    <w:p>
      <w:r>
        <w:t>Un tel procédé n'est pas conforme à l'art. 23 al. 2 OELP, lequel préconise une répartition des frais et débours relatifs à l'exécution de la saisie entre l'ensemble des créanciers qui participent à la même saisie.</w:t>
      </w:r>
    </w:p>
    <w:p>
      <w:r>
        <w:t>La sommation précitée est en effet un acte qui s'inscrit dans la procédure d'exécution de la saisie et est ainsi censé profiter à l'ensemble des créanciers participant à la même saisie. Preuve en est que le courrier de sommation mentionne le numéro de dossier huissier, en l'occurrence le n° 3______, et non pas un numéro de poursuite.</w:t>
      </w:r>
    </w:p>
    <w:p>
      <w:r>
        <w:t>Sur ce point également, la plainte s'avère fondée.</w:t>
      </w:r>
    </w:p>
    <w:p>
      <w:r>
        <w:t>- 10/12 -</w:t>
      </w:r>
    </w:p>
    <w:p>
      <w:r>
        <w:t>A/209/2019-CS</w:t>
      </w:r>
    </w:p>
    <w:p>
      <w:r>
        <w:t>4.2.2. C'est en revanche à tort que le plaignant soutient que l'émolument de sommation devrait se monter à 8 fr. au maximum, hors frais postaux, dans la mesure où la lettre de sommation fait deux pages et pourrait donc donner lieu à un émolument de 16 fr. (art. 9 al. 1 OELP). Il s'ensuit que le montant de 19 fr. 50 facturé par l'Office et comprenant aussi les frais postaux n'est pas critiquable.</w:t>
      </w:r>
    </w:p>
    <w:p>
      <w:r>
        <w:t>4.2.3. La plainte sera ainsi admise en tant qu'elle porte sur le mode de répartition des frais de sommation, la facture annulée et le dossier renvoyé à l'Office pour qu'il répartisse ces frais entre l'ensemble des créanciers ayant participé à la saisie.</w:t>
      </w:r>
    </w:p>
    <w:p>
      <w:r>
        <w:rPr>
          <w:b/>
        </w:rPr>
        <w:t>E. 5</w:t>
      </w:r>
    </w:p>
    <w:p>
      <w:r>
        <w:t>La procédure de plainte est gratuite (art. 20a al. 2 ch. 5 LP et art. 61 al. 2 let. a OELP) et il n'est pas alloué de dépens (62 al. 2 OELP). * * * * *</w:t>
      </w:r>
    </w:p>
    <w:p>
      <w:r>
        <w:t>- 11/12 -</w:t>
      </w:r>
    </w:p>
    <w:p>
      <w:r>
        <w:t>A/209/2019-CS PAR CES MOTIFS, La Chambre de surveillance : A la forme : Déclare recevables les plaintes formées le 18 janvier 2019 par A______ contre le procès-verbal de saisie, série n° 3______, établi le 2 janvier 2019 (A/209/2019) et la facture n° 4______ du 8 janvier 2019 (A/5______/2019). Confirme en tant que de besoin la jonction desdites causes en une seule procédure A/209/2019. Au fond : Admet partiellement la plainte contre la facture n° 4______ du 8 janvier 2019. Annule cette facture et renvoie le dossier à l'Office cantonal des poursuites pour qu'il statue dans le sens des considérants de la présente décision. Admet la plainte formée contre le procès-verbal de saisie, série n° 3______, établi le 2 janvier 2019. Annule ce procès-verbal de saisie et invite l'Office cantonal des poursuites à procéder à des investigations complémentaires au sens des considérants de la présente décision. Constate pour le surplus que l'Office cantonal des poursuites a tardé sans justification dans l'exécution de la saisie, poursuite n° 1______.</w:t>
      </w:r>
    </w:p>
    <w:p>
      <w:r>
        <w:t>Siégeant : Madame Verena PEDRAZZINI RIZZI, présidente; Messieurs Michel BERTSCHY et Claude MARCET, juges assesseurs ; Madame Sylvie SCHNEWLIN, greffière.</w:t>
      </w:r>
    </w:p>
    <w:p>
      <w:r>
        <w:t>La présidente :</w:t>
      </w:r>
    </w:p>
    <w:p>
      <w:r>
        <w:t>Verena PEDRAZZINI RIZZI</w:t>
      </w:r>
    </w:p>
    <w:p>
      <w:r>
        <w:t>La greffière :</w:t>
      </w:r>
    </w:p>
    <w:p>
      <w:r>
        <w:t>Sylvie SCHNEWLIN</w:t>
      </w:r>
    </w:p>
    <w:p>
      <w:r>
        <w:t>- 12/12 -</w:t>
      </w:r>
    </w:p>
    <w:p>
      <w:r>
        <w:t>A/209/2019-CS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