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DCSO/317/2017 vom 27. Juni 2017</w:t>
      </w:r>
    </w:p>
    <w:p>
      <w:r>
        <w:t>GE Cour de justice, 2017-06-27, FR</w:t>
      </w:r>
    </w:p>
    <w:p>
      <w:r>
        <w:rPr>
          <w:b/>
        </w:rPr>
        <w:t xml:space="preserve">Quelle: </w:t>
      </w:r>
      <w:r>
        <w:t>https://mcp.opencaselaw.ch/entscheid/ge_gerichte_DCSO_317_2017</w:t>
      </w:r>
    </w:p>
    <w:p>
      <w:r>
        <w:t>FR: GE_GERICHTE DCSO/317/2017 du 27 juin 2017</w:t>
      </w:r>
    </w:p>
    <w:p>
      <w:r>
        <w:t>IT: GE_GERICHTE DCSO/317/2017 del 27 giugno 2017</w:t>
      </w:r>
    </w:p>
    <w:p>
      <w:pPr>
        <w:pStyle w:val="Heading2"/>
      </w:pPr>
      <w:r>
        <w:t>Volltext</w:t>
      </w:r>
    </w:p>
    <w:p>
      <w:r>
        <w:t>REPUBLIQUE ET</w:t>
      </w:r>
    </w:p>
    <w:p>
      <w:r>
        <w:t>CANTON DE GENEVE POUVOIR JUDICIAIRE A/874/2017-CS DCSO/317/17 DECISION DE LA COUR DE JUSTICE Chambre de surveillance des Offices des poursuites et faillites DU MARDI 27 JUIN 2017 Plainte 17 LP (A/874/2017-CS) formée en date du 13 mars 2017 par l’ETAT DE VAUD, comparant en personne. *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A/874/2017-CS Vu, EN FAIT, la réquisition de poursuite par la voie de la saisie, expédiée le 2 février 2016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quatre relances à l’Office au sujet de cette réquisition de poursuite, entre février 2016 et le 25 novembre de la même année, sans réaction dudit Office, y compris jusqu'à la date de la rédaction de la présente plainte; Que dans le délai imparti pour déposer ses observations, ce dernier s’en est rapporté à justice au sujet de cette plainte, en admettant avoir eu du retard dans le traitement de cette réquisition de poursuite, à la suite du changement de sa plate-forme informatique et des dysfonctionnements subséquents auxquels il a eu à faire face, ainsi que, de surcroît, d’une erreur humaine dans le traitement de cette réquisition; Qu’il a toutefois également expliqué avoir pris toutes les mesures nécessaires à compter de l’édition du commandement de payer, poursuite n° 16 xxxx38 M, le 31 mai 2016, pour parvenir à le notifier au débiteur, toutefois sans succès; Que finalement, l’Office a interpellé ledit créancier le 22 mars 2017 afin d’obtenir son porté fort des frais de publication en vue de cette notification au débiteur par voie édictale;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 février 2016;</w:t>
      </w:r>
    </w:p>
    <w:p>
      <w:r>
        <w:t>- 3/4 -</w:t>
      </w:r>
    </w:p>
    <w:p>
      <w:r>
        <w:t>A/874/2017-CS Que ledit Office a alors mis quatre mois pour éditer le commandement de payer correspondant, poursuite n° 16 xxxx38 M, le 31 mai 2016; Que cette poursuite n’a pu être notifiée au débiteur, malgré les tentatives de l’Office entre mai et fin août 2016; Qu’à cette époque, une erreur humaine a interrompu ce processus de notification, cela sans que l’Office ne réagisse; Qu’à ce jour, le commandement de payer précité n’a toujours pas été notifié audit débiteur; Que cette situation est constitutive d’un retard inadmissible et injustifié de l’Office, même si ce dernier s’est heurté notamment à l’attitude négative du débiteur; Que ce retard injustifié doit être constaté; Qu’en effet, il appartient audit Office de faire diligence dans le traitement des actes de poursuite qui lui parviennent, de sorte qu’un délai de près de 13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A/874/2017-CS PAR CES MOTIFS, La Chambre de surveillance : A la forme : Déclare recevable la plainte formée le 13 mars 2017 par l’ETAT DE VAUD pour retard injustifié de l’Office des poursuites dans le traitement de sa réquisition de poursuite dirigée le 2 février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