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DCSO/313/2011 vom 15. September 2011</w:t>
      </w:r>
    </w:p>
    <w:p>
      <w:r>
        <w:t>GE Cour de justice, 2011-09-15, FR</w:t>
      </w:r>
    </w:p>
    <w:p>
      <w:r>
        <w:rPr>
          <w:b/>
        </w:rPr>
        <w:t xml:space="preserve">Quelle: </w:t>
      </w:r>
      <w:r>
        <w:t>https://mcp.opencaselaw.ch/entscheid/ge_gerichte_DCSO_313_2011</w:t>
      </w:r>
    </w:p>
    <w:p>
      <w:r>
        <w:t>FR: GE_GERICHTE DCSO/313/2011 du 15 septembre 2011</w:t>
      </w:r>
    </w:p>
    <w:p>
      <w:r>
        <w:t>IT: GE_GERICHTE DCSO/313/2011 del 15 settembre 2011</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w:t>
      </w:r>
    </w:p>
    <w:p>
      <w:r>
        <w:rPr>
          <w:b/>
        </w:rPr>
        <w:t>E. 2.1</w:t>
      </w:r>
    </w:p>
    <w:p>
      <w:r>
        <w:t>A teneur de l’art. 89 LP, lorsque le débiteur est sujet à la poursuite par voie de saisie, l’Office des poursuites,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w:t>
      </w:r>
    </w:p>
    <w:p>
      <w:r>
        <w:rPr>
          <w:b/>
        </w:rPr>
        <w:t>E. 2.2</w:t>
      </w:r>
    </w:p>
    <w:p>
      <w:r>
        <w:t>En l'espèce, il ressort des pièces produites par l'Office que la réquisition de continuer la poursuite a été déposée par le SCARPA le 28 août 2010, que le</w:t>
      </w:r>
    </w:p>
    <w:p>
      <w:r>
        <w:t>- 5/6 -</w:t>
      </w:r>
    </w:p>
    <w:p>
      <w:r>
        <w:t>A/2104/2011-AS débiteur cité n'a jamais pu être localisé, malgré les nombreuses investigations dudit Office, de sorte qu'il n'a pas été possible de déterminer ses revenus, fortune et charges, mais qu'il apparaît qu'il est sans ressources avérées dès lors que la Caisse compétente a informé l'Office de la suspension des prestations de chômage en faveur dudit débiteur à compter du 1er septembre 2010.</w:t>
      </w:r>
    </w:p>
    <w:p>
      <w:r>
        <w:t>L'Autorité de surveillance doit en conséquence constater que l'Office a fait preuve de la diligence requise, compte tenu des circonstances du cas d'espèce et de ses moyens d'investigation, dans le traitement de la réquisition de continuer la poursuite formée par le plaignant. Ainsi, le retard consécutif aux nombreuses investigations auxquelles l'Office a été contraint pour tenter de localiser le débiteur et de déterminer ses revenus ne peut lui être imputé.</w:t>
      </w:r>
    </w:p>
    <w:p>
      <w:r>
        <w:t>Cela étant, un procès-verbal de saisie valant acte de défaut de biens ayant été communiqué aux parties, et notamment au plaignant, le 7 septembre 2011, sa plainte est devenue sans objet et la cause A/2104/2011 sera rayée du rôle.</w:t>
      </w:r>
    </w:p>
    <w:p>
      <w:r>
        <w:t>* * * * *</w:t>
      </w:r>
    </w:p>
    <w:p>
      <w:r>
        <w:t>- 6/6 -</w:t>
      </w:r>
    </w:p>
    <w:p>
      <w:r>
        <w:t>A/2104/2011-AS PAR CES MOTIFS, L'Autorité de surveillance : A la forme : Déclare recevable la plainte pour retard injustifié formée le 8 juillet 2011 par l'Etat de Genève, soit pour lui le service cantonal d'avance et de recouvrement des pensions alimentaires, dans le cadre de la poursuite n° 10 xxxx09 G. Au fond : Constate que l'Office des poursuites n'a fait preuve d'aucun retard dans le traitement de la réquisition de continuer cette poursuite n° 10 xxxx09 G. Constate par ailleurs que la plainte est devenue sans objet. Raye la cause A/2104/2011 du rôle. Siégeant : Madame Valérie LAEMMEL-JUILLARD, présidente; Messieurs Philipp GANZONI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