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DCSO/30/2011 vom 3. Februar 2011</w:t>
      </w:r>
    </w:p>
    <w:p>
      <w:r>
        <w:t>GE Cour de justice, 2011-02-03, FR</w:t>
      </w:r>
    </w:p>
    <w:p>
      <w:r>
        <w:rPr>
          <w:b/>
        </w:rPr>
        <w:t xml:space="preserve">Quelle: </w:t>
      </w:r>
      <w:r>
        <w:t>https://mcp.opencaselaw.ch/entscheid/ge_gerichte_DCSO_30_2011</w:t>
      </w:r>
    </w:p>
    <w:p>
      <w:r>
        <w:t>FR: GE_GERICHTE DCSO/30/2011 du 3 février 2011</w:t>
      </w:r>
    </w:p>
    <w:p>
      <w:r>
        <w:t>IT: GE_GERICHTE DCSO/30/2011 del 3 febbraio 2011</w:t>
      </w:r>
    </w:p>
    <w:p>
      <w:pPr>
        <w:pStyle w:val="Heading2"/>
      </w:pPr>
      <w:r>
        <w:t>Regeste</w:t>
      </w:r>
    </w:p>
    <w:p>
      <w:r>
        <w:t>Résumé: Le plaignant n'a pas produit la décision attaquée. L'Autorité de surveillance constate d'office si motif de nullité (convocation à l'audience de mainlevée et jugement de mainlevée). En l'espèce, poursuite soldée et derniers distribués au créancier le jour du dépôt de la plainte.</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des organes de l’exécution forcée ne pouvant être contestées par la voie judiciaire ou formées pour déni de justice ou retard injustifié (art. 17 al. 1 et 3 LP).</w:t>
      </w:r>
    </w:p>
    <w:p>
      <w:r>
        <w:rPr>
          <w:b/>
        </w:rPr>
        <w:t>E. 1.1</w:t>
      </w:r>
    </w:p>
    <w:p>
      <w:r>
        <w:t>non publié in ATF 131 III 652 ; ATF 120 III 107 consid. 2 p. 108/109 ; ATF 99 III 58 consid. 2 p. 60/61).</w:t>
      </w:r>
    </w:p>
    <w:p>
      <w:r>
        <w:t>Il s'ensuit que la présente plainte doit être déclarée irrecevable.</w:t>
      </w:r>
    </w:p>
    <w:p>
      <w:r>
        <w:t>- 4/5 -</w:t>
      </w:r>
    </w:p>
    <w:p>
      <w:r>
        <w:t>A/4348/2010-AS</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w:t>
      </w:r>
    </w:p>
    <w:p>
      <w:r>
        <w:t>- 3/5 -</w:t>
      </w:r>
    </w:p>
    <w:p>
      <w:r>
        <w:t>A/4348/2010-AS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 Commission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9 al. 2 LaLP et art. 65 al. 2 phr. 3 LPA).</w:t>
      </w:r>
    </w:p>
    <w:p>
      <w:r>
        <w:rPr>
          <w:b/>
        </w:rPr>
        <w:t>E. 3</w:t>
      </w:r>
    </w:p>
    <w:p>
      <w:r>
        <w:t>Dans le cas particulier, l'Autorité de céans a, par pli recommandé du 22 décembre 2010, imparti au plaignant un délai au 4 janvier 2011 pour produire la décision attaquée.</w:t>
      </w:r>
    </w:p>
    <w:p>
      <w:r>
        <w:t>Le plaignant n’a toutefois pas déféré à cette injonction dans le délai imparti.</w:t>
      </w:r>
    </w:p>
    <w:p>
      <w:r>
        <w:rPr>
          <w:b/>
        </w:rPr>
        <w:t>E. 4</w:t>
      </w:r>
    </w:p>
    <w:p>
      <w:r>
        <w:t>Certes, il invoque implicitement la nullité de la commination de faillite - au motif qu'il n’aurait reçu ni convocation à l’audience de mainlevée, ni jugement de mainlevée - laquelle doit être constatée indépendamment de toute plainte, alors même que, comme en l'espèce, les prescriptions de formes ne sont pas remplies (art. 22 al. 1 2ème phr. LP ; Pauline Erard, CR-LP ad art. 22 n° 15 ; ATF 109 III 53 consid. 2b in fine ; ATF 102 III 133, JdT 1978 II 62 ; ATF 85 III 14, 16 s).</w:t>
      </w:r>
    </w:p>
    <w:p>
      <w:r>
        <w:t>Cela étant, il appert que le poursuivi a, le 17 décembre 2010, soldé la poursuite considérée et que l'Office a distribué les deniers au poursuivant le 20 suivant, soit le jour-même où la plainte a été formée.</w:t>
      </w:r>
    </w:p>
    <w:p>
      <w:r>
        <w:t>Or, de pratique constante, la plainte n'est recevable que si elle permet d'atteindre un but concret sur le plan de l'exécution forcée, mais non si la mesure critiquée est irrévocable, lors même qu'une cause de nullité est alléguée (arrêt du Tribunal fédéral 7B.25/2004 du 19 avril 2004 et 7B.20/2005 du 14 septembre 2005 consid.</w:t>
      </w:r>
    </w:p>
    <w:p>
      <w:r>
        <w:rPr>
          <w:b/>
        </w:rPr>
        <w:t>E. 5</w:t>
      </w:r>
    </w:p>
    <w:p>
      <w:r>
        <w:t>Au surplus, l'Autorité de surveillance rappellera que le droit fédéral ne confère pas aux parties la possibilité de requérir des mesures disciplinaires contre le préposé ou un employé (art. 14 al. 2 LP ; (BlSchK 2002 p. 45 ; Pierre-Robert Gilliéron, Commentaire ad art. 14 n° 35 et ad art. 17 n° 77 ss) et que la voie de la plainte n'est pas ouverte pour obtenir le remboursement d'une somme qui aurait été versée à tort (cf. art. 5 LP et art. 16 LaLP).</w:t>
      </w:r>
    </w:p>
    <w:p>
      <w:r>
        <w:rPr>
          <w:b/>
        </w:rPr>
        <w:t>E. 6</w:t>
      </w:r>
    </w:p>
    <w:p>
      <w:r>
        <w:t>La présente décision est rendue en application des art. 72 LPA et 9 al. 4 LaLP, soit sans instruction préalable, c’est-à-dire sans que l’Office - auquel elle sera toutefois communiquée - n'ait été invité à se déterminer sur la plainte, compte tenu de l’issue manifeste qu’il faut donner à cette dernière.</w:t>
      </w:r>
    </w:p>
    <w:p>
      <w:r>
        <w:t>* * * * *</w:t>
      </w:r>
    </w:p>
    <w:p>
      <w:r>
        <w:t>- 5/5 -</w:t>
      </w:r>
    </w:p>
    <w:p>
      <w:r>
        <w:t>A/4348/2010-AS PAR CES MOTIFS, L'Autorité de surveillance :</w:t>
      </w:r>
    </w:p>
    <w:p>
      <w:r>
        <w:t>Déclare irrecevable la plainte A/4348/2010 formée le 20 décembre 2010 par M. G______.</w:t>
      </w:r>
    </w:p>
    <w:p>
      <w:r>
        <w:t>Siégeant : Madame Ariane WEYENETH, présidente ; Messieurs Philipp GANZONI et Christian CHAVAZ, juges assesseurs ;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