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DCSO/308/2012 vom 26. Juli 2012</w:t>
      </w:r>
    </w:p>
    <w:p>
      <w:r>
        <w:t>GE Cour de justice, 2012-07-26, FR</w:t>
      </w:r>
    </w:p>
    <w:p>
      <w:r>
        <w:rPr>
          <w:b/>
        </w:rPr>
        <w:t xml:space="preserve">Quelle: </w:t>
      </w:r>
      <w:r>
        <w:t>https://mcp.opencaselaw.ch/entscheid/ge_gerichte_DCSO_308_2012</w:t>
      </w:r>
    </w:p>
    <w:p>
      <w:r>
        <w:t>FR: GE_GERICHTE DCSO/308/2012 du 26 juillet 2012</w:t>
      </w:r>
    </w:p>
    <w:p>
      <w:r>
        <w:t>IT: GE_GERICHTE DCSO/308/2012 del 26 luglio 2012</w:t>
      </w:r>
    </w:p>
    <w:p>
      <w:pPr>
        <w:pStyle w:val="Heading2"/>
      </w:pPr>
      <w:r>
        <w:t>Regeste</w:t>
      </w:r>
    </w:p>
    <w:p>
      <w:r>
        <w:t>Résumé: La Chambre retient qu'il n'existe pas d'éléments ou d'un ensemble d'indices convergents démontrant de façon patente que l'institution du droit à l'exécution forcée est détournée de sa finalité. Recours interjeté par le débiteur le 17 août 2012, rejeté par arrêt du 24 octobre 2012 (5A_595/2012).</w:t>
      </w:r>
    </w:p>
    <w:p>
      <w:pPr>
        <w:pStyle w:val="Heading2"/>
      </w:pPr>
      <w:r>
        <w:t>Erwägungen</w:t>
      </w:r>
    </w:p>
    <w:p>
      <w:r>
        <w:rPr>
          <w:b/>
        </w:rPr>
        <w:t>E. 1.1</w:t>
      </w:r>
    </w:p>
    <w:p>
      <w:r>
        <w:t>La Chambre de céans est compétente pour statuer sur les plaintes formées en application de la LP (art. 13 LP; art. 125 et 126 LOJ; art. 6 al. 1 et 3 et 7 al. 1 LaLP).</w:t>
      </w:r>
    </w:p>
    <w:p>
      <w:r>
        <w:rPr>
          <w:b/>
        </w:rPr>
        <w:t>E. 1.2</w:t>
      </w:r>
    </w:p>
    <w:p>
      <w:r>
        <w:t>Cette voie de droit est subsidiaire à la voie judiciaire (art. 17 al. 1 in initio LP). Si l’examen des questions de droit matériel est du ressort du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Pierre-Robert GILLIERON, Commentaire, ad art. 17 n° 88; Franco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w:t>
      </w:r>
    </w:p>
    <w:p>
      <w:r>
        <w:rPr>
          <w:b/>
        </w:rPr>
        <w:t>E. 1.3</w:t>
      </w:r>
    </w:p>
    <w:p>
      <w:r>
        <w:t>Le délai pour porter plainte est de dix jours à compter de celui où le plaignant a eu connaissance de la mesure attaquée (art. 17 al. 2 LP).</w:t>
      </w:r>
    </w:p>
    <w:p>
      <w:r>
        <w:t>En l'espèce, le plaignant a eu connaissance de la poursuite dirigée à son encontre le jour de la notification du commandement de payer, soit le 22 mai 2012. Formée le 23 mai 2012 et respectant les formes prescrites par la loi (art. 9 LaLP), la plainte sera déclarée recevable, étant rappelé que l'abus de droit invoqué, s'il était avéré, devrait être sanctionné par la nullité de la poursuite, qu'il incombe à la Chambre de céans de constater d'office et tout temps (cf. art. 22 al. 1 LP).</w:t>
      </w:r>
    </w:p>
    <w:p>
      <w:r>
        <w:rPr>
          <w:b/>
        </w:rPr>
        <w:t>E. 2.1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créance sans devoir prouver l’existence de cette dernière; le titre exécutoire n'est pas la créance elle-même ni le titre qui l'incorpore éventuellement, mais seulement le commandement de payer passé en force (ATF 113 III 2 consid. 2b; cf. aussi: Pierre-Robert GILLIERON, Poursuite pour dettes, faillite et concordat, 4e éd., n° 108, avec d'autres citations); il</w:t>
      </w:r>
    </w:p>
    <w:p>
      <w:r>
        <w:t>- 5/7 -</w:t>
      </w:r>
    </w:p>
    <w:p>
      <w:r>
        <w:t>A/1567/2012-CS n'appartient ni à l'office des poursuites ni aux autorités de surveillance de décider si une prétention litigieuse est exigée à bon droit ou non.</w:t>
      </w:r>
    </w:p>
    <w:p>
      <w:r>
        <w:rPr>
          <w:b/>
        </w:rPr>
        <w:t>E. 2.2</w:t>
      </w:r>
    </w:p>
    <w:p>
      <w:r>
        <w:t>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JdT 1989 II 121 ATF 112 III 47 consid. 1, JdT 1988 II 145; SJ 1987 p. 156).</w:t>
      </w:r>
    </w:p>
    <w:p>
      <w:r>
        <w:rPr>
          <w:b/>
        </w:rPr>
        <w:t>E. 2.3</w:t>
      </w:r>
    </w:p>
    <w:p>
      <w:r>
        <w:t>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(ATF 115 III 18);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pour des prétentions inexistantes, dans l'unique but de détruire sa bonne réputation, ou encore lorsqu'il reconnaît, devant l'office des poursuites ou le poursuivi lui-même, qu'il n'agit pas envers le véritable débiteur (ATF 115 III 18 consid. 3b; ATF 5A_250/2007 du 19 septembre 2007, 7B.219/2006 et 7B.220/2006 du 16 avril 2007, consid. 4.2; 7B.36/2006 du 16 mai 2006; DCSO/87/2008 du 28 février 2008 consid. 4; DCSO/321/2007 du 28 juin 2007; DCSO/227/2007 du 3 mai 2007; cf. Pierre- Robert GILLIERON, Commentaire, ad art. 8a n° 36, ad art. 17 n° 23, ad Remarques introductives aux art. 38-45 n° 35 ss ; Karl WÜTHRICH / Peter SCHOCH,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(DCSO/154/2012 du 19 avril 2012 consid. 2.3 in fine; DCSO/180/03 du 22 mai 2003 consid. 3.c in fine; DCSO/524/2004 du 28 octobre 2004 consid. 2.a. in fine).</w:t>
      </w:r>
    </w:p>
    <w:p>
      <w:r>
        <w:t>- 6/7 -</w:t>
      </w:r>
    </w:p>
    <w:p>
      <w:r>
        <w:t>A/1567/2012-CS</w:t>
      </w:r>
    </w:p>
    <w:p>
      <w:r>
        <w:rPr>
          <w:b/>
        </w:rPr>
        <w:t>E. 2.4</w:t>
      </w:r>
    </w:p>
    <w:p>
      <w:r>
        <w:t>Il ressort de l'instruction de la cause que les parties sont en litige au sujet de F______ SA, dont le poursuivant allègue qu'il était l'un des deux fondateurs et qu'il détenait 98 % des actions. Le plaignant, inscrit au registre du commerce en qualité d'administrateur le 10 septembre 2010 (date de la publication dans la FOSC), fait valoir que le poursuivant, en particulier, aurait vidé les comptes de la société dans le courant de l'année 2009; pour sa part, ce dernier soutient que M. T______, représentant F______ SA en Pologne, aurait volé plus de 7,7 millions d'un compte de cette société dans ce pays, qu'il se serait illégitimement approprié l'un des certificats d'actions de la société (76% du capital-actions) et aurait ainsi procédé à la nomination contestée du plaignant en qualité d'administrateur; des procédures tant civile que pénale sont pendantes, à Genève (demande en paiement dirigées notamment contre le poursuivant et plainte pénale contre ce dernier pour gestion déloyale) et en Pologne (plainte pénale contre M. T______); le poursuivant allègue que le plaignant, en sa qualité de "prétendu" administrateur, devait veiller aux intérêts pécuniaires de F______ SA; or, malgré ses nombreuses demandes, celui-ci n'a pas fait auditer la société ni entrepris de démarches pour récupérer l'argent "volé" par M. T______; au contraire, il a tout fait pour "couvrir l'activité illicite" de ce dernier, causant ainsi à F______ SA et à lui-même, unique ayant droit économique de la société, un énorme préjudice.</w:t>
      </w:r>
    </w:p>
    <w:p>
      <w:r>
        <w:t>Dans un tel contexte, la Chambre de céans, qui ne doit pas se substituer aux juges civils et pénaux, retient qu'elle ne dispose pas d'éléments ou d'un ensemble d'indices convergents démontrant, de façon patente, que l'institution du droit de l'exécution forcée est détournée de sa finalité. Dans ses observations, le poursuivant a d'ailleurs déclaré que des procédures pour gestion déloyale et abus de confiance dirigées contre le poursuivi étaient en préparation et qu'il avait agi par voie de poursuite à son encontre pour éviter que la prescription ne soit atteinte avant leur dépôt.</w:t>
      </w:r>
    </w:p>
    <w:p>
      <w:r>
        <w:rPr>
          <w:b/>
        </w:rPr>
        <w:t>E. 2.5</w:t>
      </w:r>
    </w:p>
    <w:p>
      <w:r>
        <w:t>La poursuite querellée a également été requise pour recouvrer des frais judiciaires et dépens, dus en vertu d'un arrêt de la Cour de justice dont il appert que le débiteur est F______ SA, ainsi que des frais de poursuites, lesquels sont supportés par le débiteur mais avancés par le créancier qui peut les prélever sur les premiers versements de celui-là (art. 68 LP).</w:t>
      </w:r>
    </w:p>
    <w:p>
      <w:r>
        <w:t>Sur ces points, en l'absence d'un abus manifeste de droit au sens de la jurisprudence rappelés dans les considérants précédents, il n'appartient pas à la Chambre de céans de se substituer au juge de la mainlevée, respectivement, au juge du fond et de décider si ces prétentions sont exigées à bon droit ou non.</w:t>
      </w:r>
    </w:p>
    <w:p>
      <w:r>
        <w:rPr>
          <w:b/>
        </w:rPr>
        <w:t>E. 3</w:t>
      </w:r>
    </w:p>
    <w:p>
      <w:r>
        <w:t>Mal fondée, la plainte sera être rejetée.</w:t>
      </w:r>
    </w:p>
    <w:p>
      <w:r>
        <w:t>* * * * *</w:t>
      </w:r>
    </w:p>
    <w:p>
      <w:r>
        <w:t>- 7/7 -</w:t>
      </w:r>
    </w:p>
    <w:p>
      <w:r>
        <w:t>A/1567/2012-CS PAR CES MOTIFS, La Chambre de surveillance : A la forme : Déclare recevable la plainte formée le 23 mai 2012 par M. Z______ contre le commandement de payer, poursuite n° 12 xxxx57 P. Au fond : La rejette. Déboute M. Z______ de toutes autres conclusions.</w:t>
      </w:r>
    </w:p>
    <w:p>
      <w:r>
        <w:t>Siégeant : Madame Ariane WEYENETH, présidente; Monsieur Antoine HAMDAN et Monsieur Philippe VEILLARD;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