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DCSO/306/2012 vom 26. Juli 2012</w:t>
      </w:r>
    </w:p>
    <w:p>
      <w:r>
        <w:t>GE Cour de justice, 2012-07-26, FR</w:t>
      </w:r>
    </w:p>
    <w:p>
      <w:r>
        <w:rPr>
          <w:b/>
        </w:rPr>
        <w:t xml:space="preserve">Quelle: </w:t>
      </w:r>
      <w:r>
        <w:t>https://mcp.opencaselaw.ch/entscheid/ge_gerichte_DCSO_306_2012</w:t>
      </w:r>
    </w:p>
    <w:p>
      <w:r>
        <w:t>FR: GE_GERICHTE DCSO/306/2012 du 26 juillet 2012</w:t>
      </w:r>
    </w:p>
    <w:p>
      <w:r>
        <w:t>IT: GE_GERICHTE DCSO/306/2012 del 26 luglio 2012</w:t>
      </w:r>
    </w:p>
    <w:p>
      <w:pPr>
        <w:pStyle w:val="Heading2"/>
      </w:pPr>
      <w:r>
        <w:t>Regeste</w:t>
      </w:r>
    </w:p>
    <w:p>
      <w:r>
        <w:t>Résumé: La Chambre retient qu'il n'existe pas d'éléments ou d'un ensemble d'indices convergents démontrant de façon patente que l'institution du droit à l'exécution forcée est détournée de sa finalité. Une seconde poursuite pour la même créance n'est admissible que si, dans la première poursuite, le créancier a déjà requi la continuation ou est en droit de le faire.</w:t>
      </w:r>
    </w:p>
    <w:p>
      <w:pPr>
        <w:pStyle w:val="Heading2"/>
      </w:pPr>
      <w:r>
        <w:t>Erwägungen</w:t>
      </w:r>
    </w:p>
    <w:p>
      <w:r>
        <w:rPr>
          <w:b/>
        </w:rPr>
        <w:t>E. 1.1</w:t>
      </w:r>
    </w:p>
    <w:p>
      <w:r>
        <w:t>La Chambre de céans est compétente pour statuer sur les plaintes formées en application de la LP (art. 13 LP; art. 125 et 126 LOJ; art. 6 al. 1 et 3 et 7 al. 1 LaLP).</w:t>
      </w:r>
    </w:p>
    <w:p>
      <w:r>
        <w:rPr>
          <w:b/>
        </w:rPr>
        <w:t>E. 1.2</w:t>
      </w:r>
    </w:p>
    <w:p>
      <w:r>
        <w:t>Cette voie de droit est subsidiaire à la voie judiciaire (art. 17 al. 1 in initio LP). Si l’examen des questions de droit matériel est du ressort du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Pierre-Robert GILLIERON, Commentaire, ad art. 17 n° 88; Franco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w:t>
      </w:r>
    </w:p>
    <w:p>
      <w:r>
        <w:rPr>
          <w:b/>
        </w:rPr>
        <w:t>E. 1.3</w:t>
      </w:r>
    </w:p>
    <w:p>
      <w:r>
        <w:t>Le délai pour porter plainte est de dix jours à compter de celui où le plaignant a eu connaissance de la mesure attaquée (art. 17 al. 2 LP).</w:t>
      </w:r>
    </w:p>
    <w:p>
      <w:r>
        <w:t>En l'espèce, le plaignant a eu connaissance des poursuites dirigées à son encontre le jour de la notification des commandements de payer, soit, respectivement, le 20 avril 2009 et le 28 mai 2011; la plainte est dès lors tardive.</w:t>
      </w:r>
    </w:p>
    <w:p>
      <w:r>
        <w:t>Il incombe toutefois à la Chambre de céans de constater d'office et en tout temps (art. 22 al. 1 LP) la nullité d'une poursuite qui procéderait, comme l'invoque le plaignant, d'un abus de droit.</w:t>
      </w:r>
    </w:p>
    <w:p>
      <w:r>
        <w:t>La Chambre de céans entrera en conséquence en matière sur la plainte qui respecte par ailleurs les formes prescrites par la loi (art. 9 LaLP).</w:t>
      </w:r>
    </w:p>
    <w:p>
      <w:r>
        <w:t>- 4/6 -</w:t>
      </w:r>
    </w:p>
    <w:p>
      <w:r>
        <w:t>A/1594/2012-CS</w:t>
      </w:r>
    </w:p>
    <w:p>
      <w:r>
        <w:rPr>
          <w:b/>
        </w:rPr>
        <w:t>E. 2.1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créance sans devoir prouver l’existence de cette dernière; le titre exécutoire n'est pas la créance elle-même ni le titre qui l'incorpore éventuellement, mais seulement le commandement de payer passé en force (ATF 113 III 2 consid. 2b; cf. aussi: Pierre-Robert GILLIERON, Poursuite pour dettes, faillite et concordat, 4e éd., n° 108, avec d'autres citations); il n'appartient ni à l'office des poursuites ni aux autorités de surveillance de décider si une prétention litigieuse est exigée à bon droit ou non.</w:t>
      </w:r>
    </w:p>
    <w:p>
      <w:r>
        <w:rPr>
          <w:b/>
        </w:rPr>
        <w:t>E. 2.2</w:t>
      </w:r>
    </w:p>
    <w:p>
      <w:r>
        <w:t>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JdT 1989 II 121 ATF 112 III 47 consid. 1, JdT 1988 II 145; SJ 1987 p. 156).</w:t>
      </w:r>
    </w:p>
    <w:p>
      <w:r>
        <w:rPr>
          <w:b/>
        </w:rPr>
        <w:t>E. 2.3</w:t>
      </w:r>
    </w:p>
    <w:p>
      <w:r>
        <w:t>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pour des prétentions inexistantes, dans l'unique but de détruire sa bonne réputation, ou encore lorsqu'il reconnaît, devant l'office des poursuites ou le poursuivi lui-même, qu'il n'agit pas envers le véritable débiteur;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(ATF 115 III 18 consid. 3b, JT 1991 II 76; ATF 5A_250/2007 du 19 septembre 2007, 7B.219/2006 et</w:t>
      </w:r>
    </w:p>
    <w:p>
      <w:r>
        <w:t>- 5/6 -</w:t>
      </w:r>
    </w:p>
    <w:p>
      <w:r>
        <w:t>A/1594/2012-CS 7B.220/2006 du 16 avril 2007, consid. 4.2; 7B.45/2006 du 28 juillet 2006, consid. 3.1; 7B.36/2006 du 16 mai 2006; DCSO/87/2008 du 28 février 2008 consid. 4; DCSO/321/2007 du 28 juin 2007; DCSO/227/2007 du 3 mai 2007; cf. Pierre- Robert GILLIÉRON, Commentaire, ad art. 8a n° 36, ad art. 17 n° 23, ad Remarques introductives aux art. 38-45 n° 35 ss ; Karl WÜTHRICH / Peter SCHOCH,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(DCSO/154/2012 du 19 avril 2012 consid. 2.3 in fine ; DCSO/180/03 du 22 mai 2003 consid. 3.c in fine; DCSO/524/2004 du 28 octobre 2004 consid. 2.a. in fine).</w:t>
      </w:r>
    </w:p>
    <w:p>
      <w:r>
        <w:rPr>
          <w:b/>
        </w:rPr>
        <w:t>E. 2.4</w:t>
      </w:r>
    </w:p>
    <w:p>
      <w:r>
        <w:t>En l'espèce, il ressort de l'instruction de la cause que la créance en poursuite, relative à des frais d'abonnement et de réalisation anticipée, n'apparaît pas prima facie dépourvue de tout fondement. Certes, la poursuivante n'a pas requis la mainlevée des oppositions formées aux deux commandements de payer qui ont été notifiés au plaignant en date du 20 avril 2009, puis du 28 mai 2011, ni intenté, à ce jour, d'action en reconnaissance judiciaire de sa créance de 814 fr. 55 plus intérêts et frais. Cela étant, la Chambre de céans, qui ne doit pas se substituer aux juges civils, retient qu'elle ne dispose pas d'éléments ou d'un ensemble d'indices convergents démontrant, de façon patente, que l'institution du droit de l'exécution forcée est détournée de sa finalité et que la poursuivante a agi dans le seul but de tourmenter délibérément le poursuivi, dont l'état de santé, tel qu'attesté par son médecin traitant, ne pouvait au demeurant lui être connu. Au surplus, il est de jurisprudence constante qu'une seconde poursuite pour la même créance n'est inadmissible que si, dans la première poursuite, le créancier a déjà requis la continuation de la poursuite ou est en droit de le faire (ATF 128 III 383 consid. 1 et 2). En l'occurrence, la poursuite n° 09 xxxx22 V a été arrêtée par l'opposition formée par le plaignant au commandement de payer.</w:t>
      </w:r>
    </w:p>
    <w:p>
      <w:r>
        <w:rPr>
          <w:b/>
        </w:rPr>
        <w:t>E. 2.5</w:t>
      </w:r>
    </w:p>
    <w:p>
      <w:r>
        <w:t>Il s'ensuit qu'en l'absence de circonstances exceptionnelles permettant de conclure à l'existence de poursuites abusives - et donc nulles -, la plainte doit être rejetée.</w:t>
      </w:r>
    </w:p>
    <w:p>
      <w:r>
        <w:t>- 6/6 -</w:t>
      </w:r>
    </w:p>
    <w:p>
      <w:r>
        <w:t>A/1594/2012-CS PAR CES MOTIFS, La Chambre de surveillance : A la forme : Déclare recevable la plainte formée le 25 mai 2012 par M. T______ contre les poursuites n° 09 xxxx22 V et n° 11 xxxx60 V. Au fond : La rejette. Déboute M. T______ de toutes autres conclusions. Siégeant : Madame Ariane WEYENETH, présidente; Monsieur Antoine HAMDAN et Monsieur Philippe VEILLARD;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