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DCSO/305/2016 vom 11. Oktober 2016</w:t>
      </w:r>
    </w:p>
    <w:p>
      <w:r>
        <w:t>GE Cour de justice, 2016-10-11, FR</w:t>
      </w:r>
    </w:p>
    <w:p>
      <w:r>
        <w:rPr>
          <w:b/>
        </w:rPr>
        <w:t xml:space="preserve">Quelle: </w:t>
      </w:r>
      <w:r>
        <w:t>https://mcp.opencaselaw.ch/entscheid/ge_gerichte_DCSO_305_2016</w:t>
      </w:r>
    </w:p>
    <w:p>
      <w:r>
        <w:t>FR: GE_GERICHTE DCSO/305/2016 du 11 octobre 2016</w:t>
      </w:r>
    </w:p>
    <w:p>
      <w:r>
        <w:t>IT: GE_GERICHTE DCSO/305/2016 del 11 ottobre 2016</w:t>
      </w:r>
    </w:p>
    <w:p>
      <w:pPr>
        <w:pStyle w:val="Heading2"/>
      </w:pPr>
      <w:r>
        <w:t>Erwägungen</w:t>
      </w:r>
    </w:p>
    <w:p>
      <w:r>
        <w:rPr>
          <w:b/>
        </w:rPr>
        <w:t>E. 1.1</w:t>
      </w:r>
    </w:p>
    <w:p>
      <w:r>
        <w:t>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 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w:t>
      </w:r>
    </w:p>
    <w:p>
      <w:r>
        <w:rPr>
          <w:b/>
        </w:rPr>
        <w:t>E. 1.2</w:t>
      </w:r>
    </w:p>
    <w:p>
      <w:r>
        <w:t>En l'espèce, l'absence prolongée de réaction du conseil du débiteur et les reports répétés de réponses promises, mais finalement pas données, conduit la Chambre de céans à retenir que la tentative de conciliation que l'Office a cherché à mettre en place entre le débiteur, les autres héritières et les créanciers pendant près de trois ans a échoué. L'Office a donc valablement transmis le dossier à la Chambre de céans, qui statue sur cette question sans juges assesseurs, dans la composition de trois juges titulaires (art. 7 al. 2 let. c LaLP). La requête est par conséquent recevable.</w:t>
      </w:r>
    </w:p>
    <w:p>
      <w:r>
        <w:rPr>
          <w:b/>
        </w:rPr>
        <w:t>E. 2.1</w:t>
      </w:r>
    </w:p>
    <w:p>
      <w:r>
        <w:t>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w:t>
      </w:r>
    </w:p>
    <w:p>
      <w:r>
        <w:t>- 6/9 -</w:t>
      </w:r>
    </w:p>
    <w:p>
      <w:r>
        <w:t>A/2800/2016-CS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Si l'autorité de surveillance ordonne la dissolution et la liquidation d'une communauté héréditaire, l'Office requerra le partage avec le concours de l'autorité compétente aux termes de l'art. 609 CC (art. 12 OPC), soit, à Genève, la Justice de paix (art. 3 al. 1 let. k LaCC).</w:t>
      </w:r>
    </w:p>
    <w:p>
      <w:r>
        <w:rPr>
          <w:b/>
        </w:rPr>
        <w:t>E. 2.2</w:t>
      </w:r>
    </w:p>
    <w:p>
      <w:r>
        <w:t>En l'espèce, les parcelles ayant appartenu à la défunte ne sont pas constructibles; leur valeur – estimée au total à environ 32'000 fr. – est ainsi faible. Une éventuelle vente aux enchères comporterait un risque accru que le produit de la vente soit inférieur à la valeur de la part saisie, compte tenu des difficultés d'établir précisément la valeur de la part du débiteur dans la succession de feue son épouse et du fait que l'adjudicataire devrait tout d'abord chercher à obtenir le partage de la succession. Ce dernier devrait ainsi intenter un procès, susceptible d'être long et coûteux, pour un résultat incertain. Dans ces conditions, il apparaît douteux que des personnes étrangères à la famille soient intéressées à participer aux enchères. Ainsi, la procédure en partage apparaît plus adaptée à protéger les intérêts des créanciers et du débiteur, dès lors qu'elle permet de percevoir la pleine valeur de la part saisie, alors qu'en cas de vente aux enchères ceux-ci n'en obtiendraient que la valeur d'adjudication, qui serait selon toute vraisemblance inférieure. Une vente aux enchères étant économiquement moins favorable au débiteur poursuivi et à ses créanciers qu'un partage, cette dernière procédure doit être privilégiée malgré le fait qu'elle peut s'avérer plus longue. La proposition des trois sœurs de la défunte de nommer un curateur en vue de procéder audit partage ne peut être suivie. En effet, rien ne permet de considérer que le débiteur collaborera davantage avec ce curateur qu'avec l'Office. Enfin, la demande en partage que le débiteur avait indiqué vouloir introduire avant le 14 décembre 2014 n'a toujours pas été déposée. Impartir un "délai péremptoire" aux parties pour intenter une action en partage, comme le souhaiterait le débiteur,</w:t>
      </w:r>
    </w:p>
    <w:p>
      <w:r>
        <w:t>- 7/9 -</w:t>
      </w:r>
    </w:p>
    <w:p>
      <w:r>
        <w:t>A/2800/2016-CS n'apparaît ainsi pas non plus une mesure adéquate in casu, ce d'autant moins que la Chambre de céans ne dispose pas de moyens de contrainte permettant de faire respecter une telle injonction.</w:t>
      </w:r>
    </w:p>
    <w:p>
      <w:r>
        <w:t>Au vu de ce qui précède, la Chambre de céans ordonnera la dissolution de la communauté héréditaire et la liquidation de son patrimoine commun. Il appartiendra à l'Office de prendre les mesures nécessaires pour procéder à cette liquidation et au partage des biens indivis conformément aux dispositions applicables à la communauté dont il s'agit (cf. not. art. 343 et 344 CC). Les frais du partage devront être avancés par les créanciers saisissants. L'Office sera dès lors invité à fixer le montant de cette avance et à impartir un délai aux créanciers considérés pour la payer. A défaut de paiement de ladite avance, la part de succession du débiteur devra être réalisée aux enchères publiques par l'Office, le système légal ne prévoyant pas d'autre alternative (ATF 135 III 79 consid. 2.4).</w:t>
      </w:r>
    </w:p>
    <w:p>
      <w:r>
        <w:rPr>
          <w:b/>
        </w:rPr>
        <w:t>E. 3</w:t>
      </w:r>
    </w:p>
    <w:p>
      <w:r>
        <w:t>La présente décision est rendue sans frais ni dépens. * * * * *</w:t>
      </w:r>
    </w:p>
    <w:p>
      <w:r>
        <w:t>- 8/9 -</w:t>
      </w:r>
    </w:p>
    <w:p>
      <w:r>
        <w:t>A/2800/2016-CS PAR CES MOTIFS, La Chambre de surveillance : A la forme : Déclare recevable la requête en fixation du mode de réalisation formée le 25 août 2016 par l'Office des poursuites dans le cadre des poursuites formant les séries n° 11 xxxx85 Z et 12 xxxx99 F dirigées contre A______. Au fond : Ordonne la dissolution et la liquidation de la communauté héréditaire de feu F______.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 Madame Véronique PISCETTA, greffière.</w:t>
      </w:r>
    </w:p>
    <w:p>
      <w:r>
        <w:t>La présidente : Valérie LAEMMEL-JUILLARD</w:t>
      </w:r>
    </w:p>
    <w:p>
      <w:r>
        <w:t>La greffière : Véronique PISCETTA</w:t>
      </w:r>
    </w:p>
    <w:p>
      <w:r>
        <w:t>- 9/9 -</w:t>
      </w:r>
    </w:p>
    <w:p>
      <w:r>
        <w:t>A/2800/2016-CS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