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DCSO/301/2024 vom 27. Juni 2024</w:t>
      </w:r>
    </w:p>
    <w:p>
      <w:r>
        <w:t>GE Cour de justice, 2024-06-27, FR</w:t>
      </w:r>
    </w:p>
    <w:p>
      <w:r>
        <w:rPr>
          <w:b/>
        </w:rPr>
        <w:t xml:space="preserve">Quelle: </w:t>
      </w:r>
      <w:r>
        <w:t>https://mcp.opencaselaw.ch/entscheid/ge_gerichte_DCSO_301_2024</w:t>
      </w:r>
    </w:p>
    <w:p>
      <w:r>
        <w:t>FR: GE_GERICHTE DCSO/301/2024 du 27 juin 2024</w:t>
      </w:r>
    </w:p>
    <w:p>
      <w:r>
        <w:t>IT: GE_GERICHTE DCSO/301/2024 del 27 giugno 2024</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 procès-verbal de saisie, et par une partie lésée dans ses intérêts (ATF 138 III 219 consid. 2.3; 129 III 595 consid. 3; 120 III 42 consid. 3), la plainte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arrêt du Tribunal fédéral 5A_919/2012 du 11 février 2013 consid. 4.3.1).</w:t>
      </w:r>
    </w:p>
    <w:p>
      <w:r>
        <w:t>2.1.2 Le revenu tiré d'une activité professionnelle indépendante comprend toutes les prestations que le débiteur reçoit en contrepartie de celles qu'il apporte dans le cadre de cette activité, que ces contreparties soient en argent ou en nature (KREN KOSTKIEWICZ, in KUKO SchKG, 2ème éd., 2014, n. 10 ad art. 93 LP). Pour établir ce revenu brut, l'Office doit interroger le débiteur sur le genre d'activité</w:t>
      </w:r>
    </w:p>
    <w:p>
      <w:r>
        <w:t>- 5/7 -</w:t>
      </w:r>
    </w:p>
    <w:p>
      <w:r>
        <w:t>A/2268/2023-CS qu'il exerce ainsi que le volume et la nature de ses affaires. Lorsque l'instruction menée par l'Office n'a révélé aucun élément certain, il faut tenir compte des indices à disposition.</w:t>
      </w:r>
    </w:p>
    <w:p>
      <w:r>
        <w:t>2.1.3 Conformément à l'obligation de renseignement qui lui incombe en vertu de l'art. 91 al. 1 ch. 2 LP, le débiteur doit fournir à l'Office toutes les informations et pièces permettant à celui-ci de calculer son minimum d'existence au sens de l'art. 93 al. 1 LP. Cette obligation doit être remplie au moment de l'exécution de la saisie déjà, et non au stade de la procédure de plainte (ATF 119 III 70 consid. 1; VONDER MÜHLL, in BSK SchKG I, n. 65 ad art. 93 LP).</w:t>
      </w:r>
    </w:p>
    <w:p>
      <w:r>
        <w:t>2.1.4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(ATF 114 II 12 consid. 3; arrêts du Tribunal fédéral 6B_390/2011 du 6 octobre 2011 consid. 3 et 7B.240/2001 du 18 décembre 2001; DCSO/13/2023 du 19 janvier 2023 consid. 2.1.2 et les références).</w:t>
      </w:r>
    </w:p>
    <w:p>
      <w:r>
        <w:rPr>
          <w:b/>
        </w:rPr>
        <w:t>E. 2.2</w:t>
      </w:r>
    </w:p>
    <w:p>
      <w:r>
        <w:t>En l'espèce, dans sa plainte, le poursuivi a contesté les revenus qui lui ont été imputés, alléguant, dans son courrier du 23 juin 2023, des gains mensuels pouvant être évalués à 3'397 fr. 58. Pour l'Office, les charges de la famille du plaignant s'élèvent à 5'150 fr. par mois (jusqu'au 30 juin 2023 puis à 4'988 fr. à compter du 1er juillet 2023 le forfait pour les repas à l'extérieur de 242 fr. de l'épouse du plaignant ayant été supprimé vu qu'elle a cessé de travailler). Le plaignant n'explique pas en quoi les constatations de l'Office à cet égard seraient erronées, et ne produit aucune pièce de nature à établir que ses dépenses incompressibles et effectivement assumées seraient plus élevées. En particulier, il n'établit pas s'être effectivement et régulièrement acquitté des primes d'assurance maladie obligatoire pour lui-même et les membres de sa famille dans les mois ayant immédiatement précédé ou suivi la décision de l'Office du 22 juin 2023. Quant aux montants de base OP retenus pour les enfants, le plaignant a omis de tenir compte des allocations familiales, qui viennent en déduction. Enfin, le plaignant n'a pas apporté la preuve du paiement effectif et régulier des frais de garde des enfants, un seul paiement au mois de mai 2023 n'étant pas suffisant. Il convient donc de s'en tenir aux montants admis par l'Office. En retenant comme revenus du couple, des revenus en 5'000 fr. pour l'épouse du plaignant, qui perçoit les indemnités de chômage depuis le 1er juillet 2023 et 3'397 fr. de revenus pour le plaignant, selon ses propres indications, on aboutit au calcul suivant :</w:t>
      </w:r>
    </w:p>
    <w:p>
      <w:r>
        <w:t>- 6/7 -</w:t>
      </w:r>
    </w:p>
    <w:p>
      <w:r>
        <w:t>A/2268/2023-CS Revenus des époux : 8'397 fr. Minimum vital du couple: 5'150 fr. Le minimum vital du poursuivi se détermine selon le calcul suivant : 5'150 fr. x 3'397 fr. / 8'397 fr. = 2'083 fr. La quotité saisissable résulte de la soustraction du minimum vital ainsi établi du revenu du plaignant, soit 3'397 fr. - 2'083 fr. = 1'314 fr. La quotité saisissable s'élève donc à 1'314 fr. pour les mois de juillet et août 2023. A compter du 1er septembre 2023, l'Office admet que le plaignant ne réalise quasiment plus de revenus, de sorte qu'il convient de considérer qu'il n'y a plus de gains saisissables à partir de cette date. La plainte est ainsi partiellement admise et le procès-verbal de saisie attaqué annulé en conséquence.</w:t>
      </w:r>
    </w:p>
    <w:p>
      <w:r>
        <w:rPr>
          <w:b/>
        </w:rPr>
        <w:t>E. 3</w:t>
      </w:r>
    </w:p>
    <w:p>
      <w:r>
        <w:t>La procédure de plainte est gratuite (art. 20a al. 2 ch. 5 LP; art. 61 al. 2 lit. a OELP) et il n'est pas alloué de dépens (art. 62 al. 2 OELP). * * * * *</w:t>
      </w:r>
    </w:p>
    <w:p>
      <w:r>
        <w:t>- 7/7 -</w:t>
      </w:r>
    </w:p>
    <w:p>
      <w:r>
        <w:t>A/2268/2023-CS PAR CES MOTIFS, La Chambre de surveillance : A la forme : Déclare recevable la plainte formée les 21 et 23 juin 2023 par A______ contre le procès-verbal de saisie du 20 juin 2023 dans la série n° 2______. Au fond : L'admet partiellement. Invite l'Office cantonal des poursuites à modifier le procès-verbal de saisie attaqué conformément au considérant 2 de la présente décision. Siégeant : Madame Verena PEDRAZZINI RIZZI, présidente; Madame Natalie OPPATJA et Monsieur Denis KELLER, juges assesseurs;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