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DCSO/301/2018 vom 24. Mai 2018</w:t>
      </w:r>
    </w:p>
    <w:p>
      <w:r>
        <w:t>GE Cour de justice, 2018-05-24, FR</w:t>
      </w:r>
    </w:p>
    <w:p>
      <w:r>
        <w:rPr>
          <w:b/>
        </w:rPr>
        <w:t xml:space="preserve">Quelle: </w:t>
      </w:r>
      <w:r>
        <w:t>https://mcp.opencaselaw.ch/entscheid/ge_gerichte_DCSO_301_2018</w:t>
      </w:r>
    </w:p>
    <w:p>
      <w:r>
        <w:t>FR: GE_GERICHTE DCSO/301/2018 du 24 mai 2018</w:t>
      </w:r>
    </w:p>
    <w:p>
      <w:r>
        <w:t>IT: GE_GERICHTE DCSO/301/2018 del 24 maggio 2018</w:t>
      </w:r>
    </w:p>
    <w:p>
      <w:pPr>
        <w:pStyle w:val="Heading2"/>
      </w:pPr>
      <w:r>
        <w:t>Volltext</w:t>
      </w:r>
    </w:p>
    <w:p>
      <w:r>
        <w:t>REPUBLIQUE ET</w:t>
      </w:r>
    </w:p>
    <w:p>
      <w:r>
        <w:t>CANTON DE GENEVE POUVOIR JUDICIAIRE A/1329/2018-CS DCSO/301/18 DECISION DE LA COUR DE JUSTICE Chambre de surveillance des Offices des poursuites et faillites DU JEUDI 24 MAI 2018</w:t>
      </w:r>
    </w:p>
    <w:p>
      <w:r>
        <w:t>Plainte 17 LP (A/1329/2018-CS) du 18 avril 2018 formée par A______ SA, comparant en personne.</w:t>
      </w:r>
    </w:p>
    <w:p>
      <w:r>
        <w:t>* * * * *</w:t>
      </w:r>
    </w:p>
    <w:p>
      <w:r>
        <w:t>Décision communiquée par courrier A à l'Office concerné et par pli recommandé du greffier du 25 mai 2018 à : - A______ SA ______ (GE). - Office des poursuites.</w:t>
      </w:r>
    </w:p>
    <w:p>
      <w:r>
        <w:t>- 2/4 -</w:t>
      </w:r>
    </w:p>
    <w:p>
      <w:r>
        <w:t>A/1329/2018-CS Attendu EN FAIT que par courrier daté du 18 avril 2018 et reçu au greffe de la Chambre de surveillance le 24 avril 2018, A______ SA, faisant référence à la poursuite n° 1______ requise à l'encontre de B______, a indiqué ce qui suit : "Nous nous voyons malheureusement contraints de faire appel à vos services. Malgré diverses relances, nous n'avons pas pu obtenir les éventuels fonds encore dus et/ou un acte de défaut de biens de l'Office des poursuites."; Que ce courrier porte la signature d'une personne agissant par procuration ("pp") pour "C______, Chef Comptable"; Que selon le site internet du Registre du commerce, C______ dispose d'une procuration collective à deux, avec un administrateur, pour représenter A______ SA; Que par pli recommandé du 24 avril 2018, la Chambre de céans a attiré l'attention de la plaignante sur le fait que son courrier du 18 avril 2018 n'était pas suffisamment motivé et était signé par une personne avec procuration collective à deux; par conséquent, un délai au 4 mai 2018 lui était imparti pour faire signer la plainte par un administrateur et pour compléter sa motivation, cela sous peine d'irrecevabilité; Que ce courrier a été retiré au guichet postal le 25 avril 2018; Que des observations n'ont pas été requises.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selon l'art. 9 al. 1 LaLP, la plainte doit respecter la forme écrite, de sorte qu'elle doit comporter la signature du plaignant; si ce dernier est une personne morale, la plainte doit être signée par un ou plusieurs représentants de cette dernière disposant, collectivement ou individuellement, du pouvoir de la représenter; Que la plainte doit être déposée dans les dix jours dès réception de la décision litigieuse (art. 17 al. 2 LP), comporter une motivation et des conclusions ainsi que l'acte attaqué (art. 9 al. 1 et 2 LaLP; 65 al. 1 et 2 LPA, applicable par renvoi de l'art. 9 al. 4 LaLP); Qu'en l'espèce, bien que l'occasion lui en ait été donnée, la plaignante n'a pas complété la motivation de sa plainte, laquelle ne comporte pas de conclusions; Qu'elle n'a pas non plus remis à la Chambre de céans l'exemplaire de sa plainte signé par deux personnes dûment autorisées; Que son attention avait pourtant expressément été attirée sur le fait qu'à défaut de réparer les informalités affectant sa plainte, celle-ci serait déclarée irrecevable;</w:t>
      </w:r>
    </w:p>
    <w:p>
      <w:r>
        <w:t>- 3/4 -</w:t>
      </w:r>
    </w:p>
    <w:p>
      <w:r>
        <w:t>A/1329/2018-CS Qu'il s'ensuit que la plainte est manifestement irrecevable et sera dès lors rejetée pour ce motif sans instruction préalable, en application de l'art. 72 LPA; Que la procédure est gratuite (art. 20a al. 2 ch. 5 LP et art. 61 al. 2 let. a OELP). * * * * *</w:t>
      </w:r>
    </w:p>
    <w:p>
      <w:r>
        <w:t>- 4/4 -</w:t>
      </w:r>
    </w:p>
    <w:p>
      <w:r>
        <w:t>A/1329/2018-CS PAR CES MOTIFS, La Chambre de surveillance : Déclare irrecevable la plainte formée le 18 avril 2018 par A______ SA dans le cadre de la poursuite n° 1______. Siégeant : Madame Nathalie RAPP, présidente; Messieurs Michel BERTSCHY et Claude MARCET, juges assesseurs;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