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DCSO/300/2026 vom 7. Mai 2026</w:t>
      </w:r>
    </w:p>
    <w:p>
      <w:r>
        <w:t>GE Cour de justice, 2026-05-07, FR</w:t>
      </w:r>
    </w:p>
    <w:p>
      <w:r>
        <w:rPr>
          <w:b/>
        </w:rPr>
        <w:t xml:space="preserve">Quelle: </w:t>
      </w:r>
      <w:r>
        <w:t>https://mcp.opencaselaw.ch/entscheid/ge_gerichte_DCSO_300_2026</w:t>
      </w:r>
    </w:p>
    <w:p>
      <w:r>
        <w:t>FR: GE_GERICHTE DCSO/300/2026 du 7 mai 2026</w:t>
      </w:r>
    </w:p>
    <w:p>
      <w:r>
        <w:t>IT: GE_GERICHTE DCSO/300/2026 del 7 maggio 2026</w:t>
      </w:r>
    </w:p>
    <w:p>
      <w:pPr>
        <w:pStyle w:val="Heading2"/>
      </w:pPr>
      <w:r>
        <w:t>Erwägungen</w:t>
      </w:r>
    </w:p>
    <w:p>
      <w:r>
        <w:rPr>
          <w:b/>
        </w:rPr>
        <w:t>E. 1</w:t>
      </w:r>
    </w:p>
    <w:p>
      <w:r>
        <w:t>1.1.1 La Chambre de surveillance est compétente pour statuer sur les plaintes formées en application de la LP (art. 13 al. 1 LP; 6 al. 1 et 3 et 7 al. 1 LaLP; 125 et 126 al. 1 let. a et al. 2 let. c LOJ) contre des mesures de l'office non attaquables par la voie judiciaire (art. 17 al. 1 LP).</w:t>
      </w:r>
    </w:p>
    <w:p>
      <w:r>
        <w:t>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w:t>
      </w:r>
    </w:p>
    <w:p>
      <w:r>
        <w:t>1.1.3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120 II 5 consid. 2a; arrêt 5A_48/2022 du 10 mai 2022 consid. 4.2.1 et les références).</w:t>
      </w:r>
    </w:p>
    <w:p>
      <w:r>
        <w:t>De pratique constante, la plainte n'est recevable que si elle permet d'atteindre un but concret sur le plan de l'exécution forcée; aussi, l'art. 21 LP prévoit-il que, lorsqu'une plainte est reconnue fondée, l'autorité annule ou redresse l'acte qui en fait l'objet. La plainte ne peut ainsi, sous peine d'irrecevabilité, avoir seulement un effet déclaratif ou tendre uniquement à faire constater l'irrégularité du procédé de l'office pour fonder éventuellement une action en responsabilité selon l'art. 5 LP (ATF 138 III 265 consid. 3.2; 138 III 219 consid. 2.3; 120 III 107 consid. 2; 99 III 58 consid. 2; arrêts du Tribunal fédéral 5A_554/2022 du 26 janvier 2023, consid. 5.1 ; 5A_837/2018 du 17 mai 2019 consid. 3.1, publié in Pra 2019 (78) p. 785; 7B_245/2003 du 7 janvier 2004 consid. 1.1 in fine).</w:t>
      </w:r>
    </w:p>
    <w:p>
      <w:r>
        <w:rPr>
          <w:b/>
        </w:rPr>
        <w:t>E. 1.2</w:t>
      </w:r>
    </w:p>
    <w:p>
      <w:r>
        <w:t>En l'espèce, les questions de savoir si le courrier de l’Office du 24 février 2026 est une mesure sujette à plainte et si les trois plaignants disposent de la qualité pour porter plainte, voire s’ils poursuivent un but concret sur le plan de l’exécution forcée, souffrent de rester indécises, vu l’issue de la procédure.</w:t>
      </w:r>
    </w:p>
    <w:p>
      <w:r>
        <w:rPr>
          <w:b/>
        </w:rPr>
        <w:t>E. 2</w:t>
      </w:r>
    </w:p>
    <w:p>
      <w:r>
        <w:t>2.1.1 Dès la communication du jugement de faillite à l'Office, celui-ci procède à l'inventaire des biens du failli et prend les mesures nécessaires pour leur conservation (art. 221 LP). Il doit notamment sommer le failli, sous la menace des</w:t>
      </w:r>
    </w:p>
    <w:p>
      <w:r>
        <w:t>- 5/7 -</w:t>
      </w:r>
    </w:p>
    <w:p>
      <w:r>
        <w:t>A/834/2026-CS peines prévues par la loi, d'indiquer tous ses biens et de les mettre à sa disposition (art. 222 al. 1 LP).</w:t>
      </w:r>
    </w:p>
    <w:p>
      <w:r>
        <w:t>L’office fait fermer et met sous scellés les magasins, dépôts de marchandises, ateliers, débits, etc., à moins que ces établissements ne puissent être administrés sous contrôle jusqu’à la première assemblée des créanciers (art. 223 LP).</w:t>
      </w:r>
    </w:p>
    <w:p>
      <w:r>
        <w:t>Si les locaux énumérés à l’art. 223 al. 1 LP ont seulement été remis à bail au failli et que l’administration de la faillite ne reprendra probablement pas le contrat de bail, l’office a la faculté de faire évacuer les locaux et de prendre les objets s’y trouvant pour les placer sous sa garde.</w:t>
      </w:r>
    </w:p>
    <w:p>
      <w:r>
        <w:t>Hormis le cas des immeubles, réglé dans le détail par l'ORFI, la loi ne comporte que très peu d'indications sur ce que l'administration de la masse doit faire pour conserver ou administrer les actifs du failli. C'est l'intérêt de la masse, c'est-à-dire l'intérêt des créanciers à obtenir le meilleur désintéressement possible qui, dans les limites fixées par la loi, doit guider l'administration dans tous ses choix (DE COULON, La préservation de l'entreprise du failli et sa vente d'urgence, in BlSchK 2008 p. 205).</w:t>
      </w:r>
    </w:p>
    <w:p>
      <w:r>
        <w:t>2.1.2 Dans le bail à ferme, en cas de faillite du fermier après la délivrance de la chose, le bail prend fin à l’ouverture de la faillite (art. 297a al. 1 CO).</w:t>
      </w:r>
    </w:p>
    <w:p>
      <w:r>
        <w:t>L’administration de la faillite ne peut toutefois pas expulser le locataire ou le fermier de son logement à la demande du bailleur. C'est donc au bailleur qu'il incombe de procéder lui-même à l'expulsion du failli de l'objet loué ou affermé (LUSTENBERGER/SCHENKER, BSK SchKG, n° 17 ad art. 229 LP ; VOUILLOZ, CR LP, n° 11 ad art. 229 LP).</w:t>
      </w:r>
    </w:p>
    <w:p>
      <w:r>
        <w:rPr>
          <w:b/>
        </w:rPr>
        <w:t>E. 2.2</w:t>
      </w:r>
    </w:p>
    <w:p>
      <w:r>
        <w:t>En l’espèce, l’Office a récupéré les clés du commerce pour les remettre à la bailleresse, laquelle a revendiqué par ailleurs les objets qui garnissent le restaurant. Ce procédé n’est pas critiquable et n’est du reste pas critiqué.</w:t>
      </w:r>
    </w:p>
    <w:p>
      <w:r>
        <w:t>En ce qui concerne l’occupation par l’administrateur de la faillie de chambres au premier étage de l’immeuble en tant que logement, il n’appartient pas à l’Office, en tant qu’administrateur de la faillite, de requérir son expulsion. Il appartient à la bailleresse de solliciter l’évacuation de l’intéressé auprès des autorités judiciaires compétentes.</w:t>
      </w:r>
    </w:p>
    <w:p>
      <w:r>
        <w:t>Les plaignants affirment que le refus de l’Office de procéder à l’évacuation sollicitée par eux porterait atteinte aux intérêts des créanciers, étant précisé qu’ils ne soutiennent pas en faire partie, de sorte qu’ils ne se prévalent pas d’un intérêt propre. La recevabilité du moyen est donc douteuse. De plus, ce n’est pas la faillie qui occupe illicitement les locaux loués, mais son administrateur à titre personnel avec sa famille, de sorte que la procédure en évacuation sera dirigée contre celui-</w:t>
      </w:r>
    </w:p>
    <w:p>
      <w:r>
        <w:t>- 6/7 -</w:t>
      </w:r>
    </w:p>
    <w:p>
      <w:r>
        <w:t>A/834/2026-CS ci, lequel pourra le cas échéant être condamné à verser à la bailleresse des indemnités pour occupation illicite. On ne discerne pas en quoi l’introduction de cette procédure serait dans l’intérêt des créanciers de la faillie.</w:t>
      </w:r>
    </w:p>
    <w:p>
      <w:r>
        <w:t>Mal fondée, la plainte sera ainsi rejetée.</w:t>
      </w:r>
    </w:p>
    <w:p>
      <w:r>
        <w:rPr>
          <w:b/>
        </w:rPr>
        <w:t>E. 3</w:t>
      </w:r>
    </w:p>
    <w:p>
      <w:r>
        <w:t>La procédure de plainte est gratuite (art. 20a al. 2 ch. 5 LP; 61 al. 2 let. a OELP) et il ne peut être alloué aucuns dépens dans cette procédure (art. 62 al. 2 OELP). * * * * *</w:t>
      </w:r>
    </w:p>
    <w:p>
      <w:r>
        <w:t>- 7/7 -</w:t>
      </w:r>
    </w:p>
    <w:p>
      <w:r>
        <w:t>A/834/2026-CS PAR CES MOTIFS, La Chambre de surveillance :</w:t>
      </w:r>
    </w:p>
    <w:p>
      <w:r>
        <w:t>Rejette, dans la mesure de sa recevabilité, la plainte formée le 6 mars 2026 par A______ SA, B______ et C______ contre le courrier de l’Office cantonal des faillites du 24 février 2026 dans la faillite de D______ SA (n° 2026 1______). Siégeant : Madame Verena PEDRAZZINI RIZZI, présidente; Madame Ekaterine BLINOVA et Monsieur Denis KELLER,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