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DCSO/300/2023 vom 30. Juni 2023</w:t>
      </w:r>
    </w:p>
    <w:p>
      <w:r>
        <w:t>GE Cour de justice, 2023-06-30, FR</w:t>
      </w:r>
    </w:p>
    <w:p>
      <w:r>
        <w:rPr>
          <w:b/>
        </w:rPr>
        <w:t xml:space="preserve">Quelle: </w:t>
      </w:r>
      <w:r>
        <w:t>https://mcp.opencaselaw.ch/entscheid/ge_gerichte_DCSO_300_2023</w:t>
      </w:r>
    </w:p>
    <w:p>
      <w:r>
        <w:t>FR: GE_GERICHTE DCSO/300/2023 du 30 juin 2023</w:t>
      </w:r>
    </w:p>
    <w:p>
      <w:r>
        <w:t>IT: GE_GERICHTE DCSO/300/2023 del 30 giugno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67 al. 1 ch. 1 LP, la réquisition de poursuite doit indiquer le nom du créancier, indication qui est reprise par le commandement de payer (art. 69 al. 2 ch. 1 LP). En cas de pluralité de poursuivants – ce qui est seulement possible sous forme de communauté ou de solidarité –, sauf en matière de société en nom collectif et de société en commandite, chaque poursuivant est désigné individuellement, notamment lorsque ces créanciers forment une société simple, une communauté héréditaire ou une indivision (RUEDIN, Commentaire romand, n. 13 ad art. 67 LP; GILLIERON, Commentaire de la loi fédérale sur la poursuite pour dettes et la faillite, n. 24 ad art. 67 LP).</w:t>
      </w:r>
    </w:p>
    <w:p>
      <w:r>
        <w:t>La désignation du créancier doit être indiquée de manière claire et certaine, non équivoque et excluant tout doute sur son identité (ATF 120 III 11 consid. 1b; 114 III 62 consid. 1a ; 43 III 177, JdT 1917 II 157; 80 III 9 consid. 2, JdT 1955 II 30 et les arrêts cités).</w:t>
      </w:r>
    </w:p>
    <w:p>
      <w:r>
        <w:t>Lorsque la désignation est défectueuse mais qu'elle permet néanmoins de reconnaître sans difficulté l'identité du créancier, l'acte peut être rectifié et la poursuite continuer. En revanche, si la désignation est de nature à induire en erreur et a induit en erreur, elle entraîne la nullité de la poursuite (ATF 120 III 11 consid. 1b; 114 III 62 consid. 1a).</w:t>
      </w:r>
    </w:p>
    <w:p>
      <w:r>
        <w:rPr>
          <w:b/>
        </w:rPr>
        <w:t>E. 2.2</w:t>
      </w:r>
    </w:p>
    <w:p>
      <w:r>
        <w:t>En l’espèce, à la lecture des créances indiquées sur les commandements de payer et du nom et de l’adresse de « E______ SARL » mentionnés sous la rubrique « créancier » desdits actes, la plaignante pouvait immédiatement comprendre que ces derniers étaient en lien avec les locaux qu’elle louait en vue de l’exploitation du café-restaurant sis à la rue 1______ no. ______ à Genève.</w:t>
      </w:r>
    </w:p>
    <w:p>
      <w:r>
        <w:t>Certes, la première page des commandements de payer ne permet pas de connaître d’emblée l’identité de chaque poursuivant. Toutefois, l’indication « consorts » attire l’attention de la poursuivie sur le fait qu’ils sont plusieurs. L’identité de</w:t>
      </w:r>
    </w:p>
    <w:p>
      <w:r>
        <w:t>- 4/5 -</w:t>
      </w:r>
    </w:p>
    <w:p>
      <w:r>
        <w:t>A/1134/2023-CS ceux-ci est précisée sur la deuxième page des commandements de payer, sous la rubrique « Remarques ». Il s’agit des associés de la société exploitant ledit café- restaurant, tous deux inscrits au Registre du commerce, ce que la plaignante ne pouvait ignorer, compte tenu au demeurant des relations commerciales liant les parties.</w:t>
      </w:r>
    </w:p>
    <w:p>
      <w:r>
        <w:t>Partant, les commandements de payer litigieux indiquent de manière précise et non équivoque l’identité de chaque poursuivant.</w:t>
      </w:r>
    </w:p>
    <w:p>
      <w:r>
        <w:t>Infondée, la plainte sera rejetée.</w:t>
      </w:r>
    </w:p>
    <w:p>
      <w:r>
        <w:rPr>
          <w:b/>
        </w:rPr>
        <w:t>E. 3</w:t>
      </w:r>
    </w:p>
    <w:p>
      <w:r>
        <w:t>La procédure de plainte est gratuite (art. 20a al. 2 ch. 5 LP et art. 61 al. 2 let. a OELP) et il ne peut être alloué aucuns dépens dans cette procédure (art. 62 al. 2 OELP). * * * * *</w:t>
      </w:r>
    </w:p>
    <w:p>
      <w:r>
        <w:t>- 5/5 -</w:t>
      </w:r>
    </w:p>
    <w:p>
      <w:r>
        <w:t>A/1134/2023-CS PAR CES MOTIFS, La Chambre de surveillance : A la forme : Déclare recevable la plainte formée par A______ SA le 30 mars 2023 contre les commandements de payer, poursuites nos 3______ et 4______. Au fond : La rejette. Siégeant : Madame Verena PEDRAZZINI RIZZI, présidente; Monsieur Frédéric HENSLER et Monsieur Mathieu HOWALD,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