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DCSO/300/2018 vom 24. Mai 2018</w:t>
      </w:r>
    </w:p>
    <w:p>
      <w:r>
        <w:t>GE Cour de justice, 2018-05-24, FR</w:t>
      </w:r>
    </w:p>
    <w:p>
      <w:r>
        <w:rPr>
          <w:b/>
        </w:rPr>
        <w:t xml:space="preserve">Quelle: </w:t>
      </w:r>
      <w:r>
        <w:t>https://mcp.opencaselaw.ch/entscheid/ge_gerichte_DCSO_300_2018</w:t>
      </w:r>
    </w:p>
    <w:p>
      <w:r>
        <w:t>FR: GE_GERICHTE DCSO/300/2018 du 24 mai 2018</w:t>
      </w:r>
    </w:p>
    <w:p>
      <w:r>
        <w:t>IT: GE_GERICHTE DCSO/300/2018 del 24 maggio 2018</w:t>
      </w:r>
    </w:p>
    <w:p>
      <w:pPr>
        <w:pStyle w:val="Heading2"/>
      </w:pPr>
      <w:r>
        <w:t>Erwägungen</w:t>
      </w:r>
    </w:p>
    <w:p>
      <w:r>
        <w:rPr>
          <w:b/>
        </w:rPr>
        <w:t>E. 1</w:t>
      </w:r>
    </w:p>
    <w:p>
      <w:r>
        <w:t>1.1.1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Dans un arrêt (105 2014-46) rendu le 28 mai 2014, la Chambre des poursuites et faillites du Tribunal cantonal fribourgeois est entrée en matière sur la plainte formée par une banque contre une demande de renseignements de l'Office fondée sur l'art. 91 al. 4 LP. 1.1.3 La qualité pour porter plainte selon l'art. 17 LP – condition de recevabilité devant être examinée d'office (GILLIÉRON,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GILLIÉRON, op. cit., n. 156 ad art. 17 LP). Le plaignant doit être matériellement lésé par les effets de la décision attaquée et avoir un intérêt digne de protection à sa modification ou à son annulation (ATF 138 III 219 consid. 2.3; 120 II 5 consid. 2a, JT 1995 I 189). Un intérêt est digne de protection s'il est direct, c'est-à-dire directement lié à l'objet de la contestation. Il faut qu'il y ait effectivement un préjudice porté de</w:t>
      </w:r>
    </w:p>
    <w:p>
      <w:r>
        <w:t>- 4/6 -</w:t>
      </w:r>
    </w:p>
    <w:p>
      <w:r>
        <w:t>A/4700/2017-CS manière immédiate à la situation personnelle du plaignant (GILLIÉRON, op. cit., 140 ss ad 17 LP; ATF 119 III 81). 1.1.4 La plainte doit être déposée, sous forme écrite et motivée (art. 9 al. 1 et 2 LaLP; 65 al. 1 et 2 LPA, applicable par renvoi de l'art. 9 al. 4 LaLP), dans un délai de dix jours à compter du moment où le plaignant a eu connaissance de la mesure (art. 17 al. 2 LP).</w:t>
      </w:r>
    </w:p>
    <w:p>
      <w:r>
        <w:rPr>
          <w:b/>
        </w:rPr>
        <w:t>E. 1.2</w:t>
      </w:r>
    </w:p>
    <w:p>
      <w:r>
        <w:t>Aux termes de l'art. 97 al. 1 LP, le fonctionnaire fait l'estimation des objets qu'il saisit. Il ne saisit que les biens nécessaires pour satisfaire les créanciers saisissants en capital, intérêts et frais (art. 97 al. 2 LP). Le pendant du devoir de l'office de procéder à une estimation la plus précise possible, c'est l'obligation de renseigner incombant au poursuivi, au tiers débiteur ou détenteur de biens du poursuivi, et aux autorités en application de l'art. 91 LP (GOTTRAU, Commentaire LP, 2005, n. 9 ad art. 97 LP). Selon l'art. 91 al. 4 LP en particulier (applicable par renvoi de l'art. 275 LP), les tiers qui détiennent des biens du débiteur ou contre qui le débiteur a des créances ont, sous la menace des peines prévues par la loi, la même obligation de renseigner que le débiteur. L'obligation de la banque de renseigner ne prend naissance qu'à l'expiration du délai d'opposition de l'art. 278 LP ou de la procédure qui s'ensuit (ERARD, Commentaire LP, 2005, n 19 ad art. 91 LP).</w:t>
      </w:r>
    </w:p>
    <w:p>
      <w:r>
        <w:rPr>
          <w:b/>
        </w:rPr>
        <w:t>E. 2</w:t>
      </w:r>
    </w:p>
    <w:p>
      <w:r>
        <w:t>En l'espèce, la plainte respecte la forme écrite et a été déposée en temps utile, de sorte qu'elle est recevable à cet égard. Reste à examiner si le courrier de l'Office du 16 novembre 2017 est une "mesure" d'un organe de la poursuite au sens de l'art. 17 LP et si le plaignant fait valoir un intérêt direct, actuel et réel à obtenir son annulation ou sa modification.</w:t>
      </w:r>
    </w:p>
    <w:p>
      <w:r>
        <w:t>Dès lors que la demande de renseignement litigieuse constitue un acte d'autorité accompli par l'Office en exécution d'une mission officielle dans un cas concret, en vue de la continuation de la procédure de poursuite, le courrier du 16 novembre 2017 constitue une mesure susceptible d'être attaquée par la voie de la plainte.</w:t>
      </w:r>
    </w:p>
    <w:p>
      <w:r>
        <w:t>Le plaignant, qui soutient que la banque n'a pas (encore) l'obligation de renseigner l'Office sur les avoirs séquestrés, vise à sauvegarder l'obligation de discrétion à laquelle celle-ci est tenue en sa faveur, fondée sur la protection de sa personnalité et le contrat conclu entre eux, et consacré par l'art. 47 LB (ATF 125 III 39 consid. 2e). Il s'agit là d'un intérêt digne de protection, de telle sorte que la qualité pour porter plainte du plaignant doit être admise. Il s'ensuit que la plainte est recevable.</w:t>
      </w:r>
    </w:p>
    <w:p>
      <w:r>
        <w:t>- 5/6 -</w:t>
      </w:r>
    </w:p>
    <w:p>
      <w:r>
        <w:t>A/4700/2017-CS</w:t>
      </w:r>
    </w:p>
    <w:p>
      <w:r>
        <w:rPr>
          <w:b/>
        </w:rPr>
        <w:t>E. 3</w:t>
      </w:r>
    </w:p>
    <w:p>
      <w:r>
        <w:t>La plainte est toutefois devenue sans objet en cours de procédure au vu de la décision prise par l'Office le 2 janvier 2018 – soit dans le délai qui lui a été imparti pour déposer des observations (cf. art. 17 al. 4 LP) – satisfaisant ainsi aux conclusions du débiteur poursuivi. Le bien-fondé de la nouvelle décision prise par l'Office, qui s'est substituée à celle faisant l'objet de la plainte, ne pourrait être examiné que dans le cadre d'une plainte dirigée contre elle.</w:t>
      </w:r>
    </w:p>
    <w:p>
      <w:r>
        <w:rPr>
          <w:b/>
        </w:rPr>
        <w:t>E. 4</w:t>
      </w:r>
    </w:p>
    <w:p>
      <w:r>
        <w:t>La procédure de plainte est gratuite (art. 20a al. 2 ch. 5 LP et art. 61 al. 2 let. a OELP) et il ne peut être alloué aucun dépens (art. 62 al. 2 OELP). * * * * *</w:t>
      </w:r>
    </w:p>
    <w:p>
      <w:r>
        <w:t>- 6/6 -</w:t>
      </w:r>
    </w:p>
    <w:p>
      <w:r>
        <w:t>A/4700/2017-CS PAR CES MOTIFS, La Chambre de surveillance : A la forme: Déclare recevable la plainte formée le 27 novembre 2017 par A______ contre le courrier de l'Office du 16 novembre 2017 dans la poursuite n° 1______. Au fond: Constate que la plainte est devenue sans objet. Raye en conséquence la cause du rôle. Siégeant : Monsieur Patrick CHENAUX, président; Messieurs Georges ZUFFEREY et Eric DE PREUX,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