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DCSO/299/2024 vom 27. Juni 2024</w:t>
      </w:r>
    </w:p>
    <w:p>
      <w:r>
        <w:t>GE Cour de justice, 2024-06-27, FR</w:t>
      </w:r>
    </w:p>
    <w:p>
      <w:r>
        <w:rPr>
          <w:b/>
        </w:rPr>
        <w:t xml:space="preserve">Quelle: </w:t>
      </w:r>
      <w:r>
        <w:t>https://mcp.opencaselaw.ch/entscheid/ge_gerichte_DCSO_299_2024</w:t>
      </w:r>
    </w:p>
    <w:p>
      <w:r>
        <w:t>FR: GE_GERICHTE DCSO/299/2024 du 27 juin 2024</w:t>
      </w:r>
    </w:p>
    <w:p>
      <w:r>
        <w:t>IT: GE_GERICHTE DCSO/299/2024 del 27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ATF 129 III 595 consid. 3; ATF 120 III 42 consid. 3), la plainte est recevable.</w:t>
      </w:r>
    </w:p>
    <w:p>
      <w:r>
        <w:rPr>
          <w:b/>
        </w:rPr>
        <w:t>E. 2</w:t>
      </w:r>
    </w:p>
    <w:p>
      <w:r>
        <w:t>2.1.1 En vertu de l'art. 41 al. 1bis LP, lorsqu'une poursuite par voie de saisie ou de faillite est introduite pour une créance garantie par gage, le débiteur peut exiger - lorsqu'il n'y a pas renoncé conventionnellement (ATF 120 III 105 consid. 1; arrêt du Tribunal fédéral 7B.249/2003 du 7 janvier 2004 consid. 2 et les références) -, par la voie de la plainte des art. 17 ss LP, que son créancier se désintéresse d'abord sur l'objet du bien remis en gage (au sens de l'art. 37 LP; ATF 129 III 360 consid. 1) avant de le faire sur tous ses autres biens (ATF 140 III 180 consid. 5.1.4; arrêt du Tribunal fédéral 5A_572/2022 du 19 octobre 2022 consid. 4.1).</w:t>
      </w:r>
    </w:p>
    <w:p>
      <w:r>
        <w:t>2.1.2 La cédule hypothécaire est une créance personnelle garantie par un gage immobilier (art. 842 CC). Il s'agit d'un papier-valeur qui incorpore à la fois la créance et le droit de gage immobilier, qui en est l'accessoire.</w:t>
      </w:r>
    </w:p>
    <w:p>
      <w:r>
        <w:t>On distingue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incorporée dans la cédule hypothécaire et garantie par gage immobilier, doit faire l'objet d'une poursuite en réalisation de gage immobilier, tandis que la créance causale doit faire l'objet d'une poursuite ordinaire (ATF 136 III 288 consid. 3.1 et les références).</w:t>
      </w:r>
    </w:p>
    <w:p>
      <w:r>
        <w:rPr>
          <w:b/>
        </w:rPr>
        <w:t>E. 2.2</w:t>
      </w:r>
    </w:p>
    <w:p>
      <w:r>
        <w:t>En l'espèce, il résulte de la convention du 15 décembre 2017 que l'Etat de Genève a cédé à la poursuivante une quote-part de la créance causale résiduelle de l'Etat de Genève contre le plaignant, la cédule hypothécaire grevant les parcelles 2______ et 3______ de la Commune de D______ étant remise à la poursuivante aux fins de garantie de cette créance. De plus, selon le courrier du 30 juillet 2018, qui porte la signature du plaignant, la cédule hypothécaire a été remise à un</w:t>
      </w:r>
    </w:p>
    <w:p>
      <w:r>
        <w:t>- 4/5 -</w:t>
      </w:r>
    </w:p>
    <w:p>
      <w:r>
        <w:t>A/1081/2024-CS établissement bancaire en garantie du prêt de 16'000'000 fr. consenti par la banque à la poursuivante, en vue de financer l'acquisition de la créance cédée.</w:t>
      </w:r>
    </w:p>
    <w:p>
      <w:r>
        <w:t>L'on comprend de ce qui précède que le commandement de payer attaqué tend au recouvrement de la créance causale contre le plaignant, que la poursuivante s'est fait céder par l'Etat de Genève, de sorte que c'est à juste titre que la voie de la poursuite ordinaire a été empruntée. Mal fondée, la plainte sera ainsi rejetée.</w:t>
      </w:r>
    </w:p>
    <w:p>
      <w:r>
        <w:rPr>
          <w:b/>
        </w:rPr>
        <w:t>E. 3</w:t>
      </w:r>
    </w:p>
    <w:p>
      <w:r>
        <w:t>La procédure de plainte est gratuite (art. 20a al. 2 ch. 5 LP et art. 61 al. 2 let. a OELP) et il ne peut être alloué aucuns dépens dans cette procédure (art. 62 al. 2 OELP). * * * * *</w:t>
      </w:r>
    </w:p>
    <w:p>
      <w:r>
        <w:t>- 5/5 -</w:t>
      </w:r>
    </w:p>
    <w:p>
      <w:r>
        <w:t>A/1081/2024-CS PAR CES MOTIFS, La Chambre de surveillance : A la forme : Déclare recevable la plainte formée par A______ le 28 mars 2024 dans la poursuite ordinaire n° 1______. Au fond : La rejette.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