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DCSO/299/2023 vom 30. Juni 2023</w:t>
      </w:r>
    </w:p>
    <w:p>
      <w:r>
        <w:t>GE Cour de justice, 2023-06-30, FR</w:t>
      </w:r>
    </w:p>
    <w:p>
      <w:r>
        <w:rPr>
          <w:b/>
        </w:rPr>
        <w:t xml:space="preserve">Quelle: </w:t>
      </w:r>
      <w:r>
        <w:t>https://mcp.opencaselaw.ch/entscheid/ge_gerichte_DCSO_299_2023</w:t>
      </w:r>
    </w:p>
    <w:p>
      <w:r>
        <w:t>FR: GE_GERICHTE DCSO/299/2023 du 30 juin 2023</w:t>
      </w:r>
    </w:p>
    <w:p>
      <w:r>
        <w:t>IT: GE_GERICHTE DCSO/299/2023 del 30 giugno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du 1er mai 2023 est recevable.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2.2</w:t>
      </w:r>
    </w:p>
    <w:p>
      <w:r>
        <w:t>En l'occurrence, l'Office a, dans le délai de réponse qui lui avait été imparti, reconsidéré la décision contestée. Sa nouvelle décision, soit le procès-verbal de saisie modifié du 5 mai 2023, s'est donc substituée à celle faisant l'objet de la plainte du 1er mai 2023.</w:t>
      </w:r>
    </w:p>
    <w:p>
      <w:r>
        <w:t>Dans la mesure toutefois où la décision sur reconsidération ne faisait pas entièrement droit aux conclusions formulées par le plaignant dans sa plainte, celle-ci n'a pas entièrement perdu son objet et la procédure de plainte doit donc être poursuivie.</w:t>
      </w:r>
    </w:p>
    <w:p>
      <w:r>
        <w:t>- 4/7 -</w:t>
      </w:r>
    </w:p>
    <w:p>
      <w:r>
        <w:t>A/1451/2023-CS</w:t>
      </w:r>
    </w:p>
    <w:p>
      <w:r>
        <w:rPr>
          <w:b/>
        </w:rPr>
        <w:t>E. 3.1</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(NI-2023; Ochsner, op. cit., n° 75 ad art. 93 LP; cf. arrêt du Tribunal fédéral 5A_912/2018 du 16 janvier 2019 consid. 3.1.1).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n° 77 ad art. 93 LP). D'autres charges indispensables, comme les frais de logement, doivent être ajoutés à cette base mensuelle d'entretien, pour autant qu'elles soient effectivement payées (Ochsner, in CR-LP, n° 82 ad art. 93 LP). Il en va ainsi notamment des dépenses indispensables à l'exercice d'une profession (NI-2023 ch. II 4), parmi lesquelles les frais de repas supplémentaires encourus par le débiteur si celui-ci est dans l'incapacité de manger à son domicile (NI-2023 ch. II 4 b Ochsner, in CR-LP, n° 126 ad art. 93 LP) et pour autant qu'il en fournisse les justificatifs.</w:t>
      </w:r>
    </w:p>
    <w:p>
      <w:r>
        <w:rPr>
          <w:b/>
        </w:rPr>
        <w:t>E. 3.2</w:t>
      </w:r>
    </w:p>
    <w:p>
      <w:r>
        <w:t>En l'espèce, dans son nouveau calcul du minimum vital, tel qu'il résulte du procès-verbal de saisie du 5 mai 2023, l'Office a retranché les frais de repas à l'extérieur de l'épouse du poursuivi, précédemment admis, mais pas ceux du débiteur. Dans la plainte contre le procès-verbal de saisie du 17 avril 2023, le poursuivant contestait toutefois aussi la prise en compte des frais de repas de midi à l'extérieur du débiteur, au motif qu'ils n'étaient pas justifiés par pièces.</w:t>
      </w:r>
    </w:p>
    <w:p>
      <w:r>
        <w:t>Or, pour que de telles dépenses puissent être prises en compte dans le calcul du minimum vital, il importe qu'elles soient effectivement encourues, ce qui doit être documenté par le débiteur. Il faut aussi qu'elles apparaissent indispensables à l'exercice de la profession, ce qui suppose que le débiteur, pour une raison ou une autre, n'ait pas la possibilité de prendre ses repas à son domicile.</w:t>
      </w:r>
    </w:p>
    <w:p>
      <w:r>
        <w:t>A cet égard, il ne résulte pas des explications de l'Office ni des pièces produites par lui que le poursuivi aurait fourni les justificatifs relatifs à ces frais. L'Office n'a pas non plus exposé pour quelle raison ces frais seraient dans le cas d'espèce indispensables à l'exercice de la profession du débiteur, en raison notamment de ses horaires de travail ou de l'éloignement de son domicile du lieu de travail. Sur</w:t>
      </w:r>
    </w:p>
    <w:p>
      <w:r>
        <w:t>- 5/7 -</w:t>
      </w:r>
    </w:p>
    <w:p>
      <w:r>
        <w:t>A/1451/2023-CS ce point, la plainte s'avère fondée, l'Office étant invité à compléter l'instruction du dossier, en sollicitant les justificatifs des repas pris à l'extérieur et en examinant le critère de leur caractère indispensable à l'exercice de la profession.</w:t>
      </w:r>
    </w:p>
    <w:p>
      <w:r>
        <w:rPr>
          <w:b/>
        </w:rPr>
        <w:t>E. 4</w:t>
      </w:r>
    </w:p>
    <w:p>
      <w:r>
        <w:t>4.1.1 La saisie porte au premier chef sur les biens meubles, y compris les créances et les droits relativement saisissables au sens de l'art. 93 LP; les objets de valeur courante doivent être saisis les premiers, ceux dont le débiteur peut se passer plus aisément, de préférence à ceux dont il pourrait difficilement se priver. Les immeubles ne sont saisis qu'à défaut de biens meubles suffisants pour couvrir la créance (art. 95 al. 1 et 2 LP). La créance portant sur le salaire et les revenus relativement saisissables ne bénéficie d'aucun privilège et fait partie des premiers biens saisissables (De Gottrau, CR LP, n° 13 ad art. 95 LP).</w:t>
      </w:r>
    </w:p>
    <w:p>
      <w:r>
        <w:t>L'Office ne saisit que les biens nécessaires pour satisfaire les créanciers saisissants en capital, intérêts et frais (art. 97 LP).</w:t>
      </w:r>
    </w:p>
    <w:p>
      <w:r>
        <w:t>Il peut s'écarter de l'ordre de priorité posé par l'art. 95 LP lorsque les circonstances le justifient ou que le créancier et le débiteur le demandent conjointement (art. 95 al. 4bis LP). Il doit en tout état concilier autant que possible les intérêts du créancier et ceux du débiteur (art. 95 al. 5 LP). Lorsqu'ils s'opposent, les intérêts du premier priment (De Gottrau, op. cit., n° 38 ad art. 95 LP).</w:t>
      </w:r>
    </w:p>
    <w:p>
      <w:r>
        <w:t>4.1.2 L'art.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mains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(ATF 106 III 104 p. 107 s.; arrêts du Tribunal fédéral 5A_57/2016 du 20 avril 2016, consid. 4.2; 5A_35/2015 du 13 janvier 2016 consid. 5.1).</w:t>
      </w:r>
    </w:p>
    <w:p>
      <w:r>
        <w:t>Sont de même insaisissables, selon l'art. 92 al. 1 ch. 3 LP, les outils, appareils, instruments et livres, en tant qu'ils sont nécessaires au débiteur et à sa famille pour l'exercice de leur profession. Il importe peu à cet égard que ladite profession soit exercée à titre dépendant ou indépendant, l'essentiel étant qu'elle soit rentable et que l'objet considéré soit nécessaire à son exercice (Ochsner, CR LP, n° 89 à 118 ad art. 92 LP).</w:t>
      </w:r>
    </w:p>
    <w:p>
      <w:r>
        <w:t>Parmi les critères à prendre en considération pour apprécier le caractère saisissable – ou pas – d'un véhicule, il y a l'accès au réseau de transports publics,</w:t>
      </w:r>
    </w:p>
    <w:p>
      <w:r>
        <w:t>- 6/7 -</w:t>
      </w:r>
    </w:p>
    <w:p>
      <w:r>
        <w:t>A/1451/2023-CS les horaires de travail du débiteur ainsi que son état de santé, mais aussi le rapport entre les coûts d'utilisation de la voiture et le rendement de la profession (Kren Kostkiewicz, KUKO, n° 46 ad art. 92 LP; BlSchK 1984 67). Une vielle voiture, ayant parcouru 130'000 km, estimée à 500 fr. (en 1980) a été jugée insaisissable, dès lors que le débiteur en avait besoin pour se rendre sur un lieu de travail éloigné de son domicile et inaccessible en transports publics (BlSchK 1985, 68).</w:t>
      </w:r>
    </w:p>
    <w:p>
      <w:r>
        <w:rPr>
          <w:b/>
        </w:rPr>
        <w:t>E. 4.2</w:t>
      </w:r>
    </w:p>
    <w:p>
      <w:r>
        <w:t>En l'espèce, l'Office a renoncé à saisir le véhicule du poursuivi D______ /5______ [marque, modèle] sur la base d'un double raisonnement. Il a, d'une part, considéré que la saisie de salaire était suffisante pour solder les poursuites participantes à la saisie, de sorte qu'il n'était pas nécessaire de saisir la voiture en sus. Il a, d'autre part, considéré que la voiture était en l'occurrence indispensable au poursuivi pour amener ses enfants aux urgences pédiatriques des HUG.</w:t>
      </w:r>
    </w:p>
    <w:p>
      <w:r>
        <w:t>S'agissant du premier argument, il résulte du procès-verbal de saisie du</w:t>
      </w:r>
    </w:p>
    <w:p>
      <w:r>
        <w:rPr>
          <w:b/>
        </w:rPr>
        <w:t>E. 5</w:t>
      </w:r>
    </w:p>
    <w:p>
      <w:r>
        <w:t>La procédure de plainte est gratuite (art. 20a al. 2 ch. 5 LP et art. 61 al. 2 let. a OELP) et il ne peut être alloué aucuns dépens dans cette procédure (art. 62 al. 2 OELP). * * * * *</w:t>
      </w:r>
    </w:p>
    <w:p>
      <w:r>
        <w:t>- 7/7 -</w:t>
      </w:r>
    </w:p>
    <w:p>
      <w:r>
        <w:t>A/1451/2023-CS PAR CES MOTIFS, La Chambre de surveillance : A la forme : Déclare recevable la plainte formée le 1er mai 2023 par A______ contre le procès-verbal de saisie du 17 avril 2023 dans la série n° 3______. Au fond : Constate que la plainte est devenue partiellement sans objet en raison du nouveau procès-verbal de saisie, série n° 3______, établi le 5 mai 2023 par l'Office cantonal des poursuites. Admet partiellement la plainte pour le surplus. Invite l'Office cantonal des poursuites à compléter à bref délai ses investigations dans le sens du considérant 3.2 de la présente décision. Invite l'Office cantonal des poursuites, une fois ces investigations effectuées, à compléter et rectifier le procès-verbal de saisie et à communiquer un exemplaire du procès-verbal complété aux débiteur et créanciers participant à la saisie. Rejette la plainte pour le surplus. Siégeant : Madame Verena PEDRAZZINI RIZZI, présidente; Monsieur Frédéric HENSLER et Monsieur Mathieu HOWALD,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