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DCSO/299/2018 vom 24. Mai 2018</w:t>
      </w:r>
    </w:p>
    <w:p>
      <w:r>
        <w:t>GE Cour de justice, 2018-05-24, FR</w:t>
      </w:r>
    </w:p>
    <w:p>
      <w:r>
        <w:rPr>
          <w:b/>
        </w:rPr>
        <w:t xml:space="preserve">Quelle: </w:t>
      </w:r>
      <w:r>
        <w:t>https://mcp.opencaselaw.ch/entscheid/ge_gerichte_DCSO_299_2018</w:t>
      </w:r>
    </w:p>
    <w:p>
      <w:r>
        <w:t>FR: GE_GERICHTE DCSO/299/2018 du 24 mai 2018</w:t>
      </w:r>
    </w:p>
    <w:p>
      <w:r>
        <w:t>IT: GE_GERICHTE DCSO/299/2018 del 24 maggio 2018</w:t>
      </w:r>
    </w:p>
    <w:p>
      <w:pPr>
        <w:pStyle w:val="Heading2"/>
      </w:pPr>
      <w:r>
        <w:t>Regeste</w:t>
      </w:r>
    </w:p>
    <w:p>
      <w:r>
        <w:t>Résumé: Absence de qualité pour former une plainte du mandataire en mains duquel un acte de poursuite est notifié.</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notification d'un acte de poursuite. La plainte doit être déposée, sous forme écrite et motivée (art. 9 al. 1 et</w:t>
      </w:r>
    </w:p>
    <w:p>
      <w:r>
        <w:rPr>
          <w:b/>
        </w:rPr>
        <w:t>E. 1.2</w:t>
      </w:r>
    </w:p>
    <w:p>
      <w:r>
        <w:t>La plainte a en l'occurrence été formée, à titre personnel, par l'avocat mandaté par la poursuivie pour défendre ses intérêts en relation avec le séquestre obtenu par l'intimée. N'étant pas lui-même partie, en aucune qualité, à la procédure de poursuite en cours contre sa cliente, le plaignant n'est ainsi pas directement touché par la mesure contestée. La question de la validité de la notification intervenue le 28 novembre 2017 est certes pertinente pour la suite de la procédure de poursuite et aura donc des effets sur la situation de sa mandante mais l'on ne voit pas – et le plaignant ne l'explique pas – de quelle utilité pratique l'admission de la plainte lui</w:t>
      </w:r>
    </w:p>
    <w:p>
      <w:r>
        <w:t>- 4/6 -</w:t>
      </w:r>
    </w:p>
    <w:p>
      <w:r>
        <w:t>A/4848/2017-CS serait. C'est le lieu de souligner que la décision de l'Office de procéder à une tentative de notification en son Etude était dénuée de tout effet externe le concernant, dès lors qu'il était libre de refuser cette notification (cf. ch. 2.2 ci- dessous). La plainte est donc irrecevable faute de lésion d'un intérêt digne de protection du plaignant.</w:t>
      </w:r>
    </w:p>
    <w:p>
      <w:r>
        <w:rPr>
          <w:b/>
        </w:rPr>
        <w:t>E. 2</w:t>
      </w:r>
    </w:p>
    <w:p>
      <w:r>
        <w:t>Quand bien même elle aurait été recevable, la plainte aurait dû être rejetée car mal fondée.</w:t>
      </w:r>
    </w:p>
    <w:p>
      <w:r>
        <w:rPr>
          <w:b/>
        </w:rPr>
        <w:t>E. 2.1</w:t>
      </w:r>
    </w:p>
    <w:p>
      <w:r>
        <w:t>Comme le relève à juste titre l'intimée, la question litigieuse ne porte pas sur l'existence d'un for de poursuite à Genève, un tel for découlant de l'art. 52 LP.</w:t>
      </w:r>
    </w:p>
    <w:p>
      <w:r>
        <w:t>Il s'agit bien plutôt d'examiner si la poursuivie avait élu domicile, au sens de l'art. 66 al. 1 LP, en l'Etude de son conseil genevois, avec pour conséquence que des actes de poursuite, en particulier un commandement de payer, pouvaient valablement y être notifiés.</w:t>
      </w:r>
    </w:p>
    <w:p>
      <w:r>
        <w:rPr>
          <w:b/>
        </w:rPr>
        <w:t>E. 2.2</w:t>
      </w:r>
    </w:p>
    <w:p>
      <w:r>
        <w:t>Lorsque le débiteur est domicilié à l'étranger, les actes de poursuite lui sont en principe notifiés par l'intermédiaire des autorités de son lieu de résidence ou, si un traité international le prévoit ou que l'Etat du lieu de notification y consent, par la poste (art. 66 al. 3 LP). Le débiteur conserve toutefois la possibilité de désigner au for de la poursuite un représentant habilité à recevoir les actes de poursuite qui lui sont destinés (art. 66 al. 1 LP). Le représentant conventionnel ainsi désigné – personne physique ou morale – doit toutefois être au bénéfice d'une procuration générale ou d'une procuration portant expressément sur la réception, pour le compte du débiteur, d'actes de poursuite (ATF 43 III 18 consid. 3; arrêt du Tribunal fédéral 5A_45/2015 du 20 avril 2015 consid. 3.2 et références citées). La portée de la procuration est établie selon les règles prévalant en général, spécialement au regard du principe de la confiance (arrêt du Tribunal fédéral 5A_45/2015 précité, consid. 3.2; DONZALLAZ, La notification en droit interne suisse, 2002, § 790 p. 409).</w:t>
      </w:r>
    </w:p>
    <w:p>
      <w:r>
        <w:t>Un avocat mandaté pour la conduite d'un procès n'est pas présumé avoir été autorisé à recevoir les actes de poursuite en relation avec ce procès, à moins que le mandat ne comporte expressément cette faculté (ATF 25 I 121; arrêt du Tribunal fédéral 7B.86/2006 du 8 février 2007 consid. 2.1). Si la procuration conférée à l'avocat a une portée générale, c'est à lui de déterminer – et de manifester de manière reconnaissable pour les autorités de poursuite – si des actes de poursuite peuvent lui être notifiés pour le compte de son mandant. Il peut ainsi refuser toute notification en ses mains. Si en revanche il déclare aux autorités de poursuite qu'une telle notification est possible, ou accepte sans formuler de réserve qu'un acte de poursuite lui soit notifié pour le compte de son mandant, la notification sera valable (ATF 69 III 82 ss., 85).</w:t>
      </w:r>
    </w:p>
    <w:p>
      <w:r>
        <w:rPr>
          <w:b/>
        </w:rPr>
        <w:t>E. 2.3</w:t>
      </w:r>
    </w:p>
    <w:p>
      <w:r>
        <w:t>La sanction d'une notification viciée consiste, lorsque malgré le vice le destinataire de l'acte en a eu connaissance, en l'annulabilité sur plainte de la</w:t>
      </w:r>
    </w:p>
    <w:p>
      <w:r>
        <w:t>- 5/6 -</w:t>
      </w:r>
    </w:p>
    <w:p>
      <w:r>
        <w:t>A/4848/2017-CS notification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rPr>
          <w:b/>
        </w:rPr>
        <w:t>E. 2.4</w:t>
      </w:r>
    </w:p>
    <w:p>
      <w:r>
        <w:t>Dans le cas d'espèce, la procuration conférée par la débitrice à son avocat suisse ne mentionne pas expressément la capacité de recevoir pour son compte des actes de poursuite mais, dans le cadre de son objet (le séquestre ordonné le 1er novembre 2018), a une portée générale, le mandataire y recevant "les pouvoirs les plus étendus pour faire tout ce qu'il jugera nécessaire ou utile à l'accomplissement du mandat". Dans le cadre de l'exécution de son mandat, il appartenait donc au conseil genevois de la débitrice de déterminer si la réception d'actes de poursuite destinés à cette dernière était nécessaire ou utile à la sauvegarde des intérêts de sa mandante. Or le mandataire de la débitrice a manifesté à l'égard de l'Office, à au moins une reprise au moment même de la remise de l'acte, que des actes de poursuite pouvaient lui être notifiés pour le compte de cette dernière.</w:t>
      </w:r>
    </w:p>
    <w:p>
      <w:r>
        <w:t>L'Office a exposé dans ses observations que, lors d'un entretien téléphonique s'étant déroulé le 22 novembre 2017, la collaboratrice du conseil genevois de la débitrice lui avait confirmé que le commandement de payer établi dans la poursuite en validation de séquestre pouvait être notifié en l'Etude de ce dernier. Or de tels propos, dont la réalité n'a pas été contestée par le plaignant, permettaient à l'Office de retenir l'existence d'une élection de domicile aux fins de notification d'actes de poursuite, au sens de l'art. 66 al. 1 LP.</w:t>
      </w:r>
    </w:p>
    <w:p>
      <w:r>
        <w:t>Même à considérer que l'existence et la teneur de la conversation téléphonique alléguée par l'Office ne seraient pas suffisamment démontrées, la simple acceptation sans réserve par la collaboratrice du plaignant de la notification de l'acte, le 28 novembre 2017, devait être interprétée comme la manifestation par acte concluant d'une élection de domicile en son Etude.</w:t>
      </w:r>
    </w:p>
    <w:p>
      <w:r>
        <w:t>Le commandement de payer a ainsi été valablement notifié à la débitrice en l'Etude du plaignant.</w:t>
      </w:r>
    </w:p>
    <w:p>
      <w:r>
        <w:t>Un éventuel vice entachant la notification n'aurait pour le surplus pas justifié l'annulation de celle-ci dès lors qu'il y a lieu d'admettre que, par le biais de son conseil, la débitrice a acquis une connaissance de l'acte telle qu'une nouvelle notification ne lui apporterait aucune information supplémentaire, et que ses droits ont été préservés par l'opposition formée au moment de la remise du commandement de payer.</w:t>
      </w:r>
    </w:p>
    <w:p>
      <w:r>
        <w:rPr>
          <w:b/>
        </w:rPr>
        <w:t>E. 3</w:t>
      </w:r>
    </w:p>
    <w:p>
      <w:r>
        <w:t>La procédure de plainte est gratuite (art. 20a al. 2 ch. 5 LP et art. 61 al. 2 let. a OELP) et il ne peut être alloué aucuns dépens dans cette procédure (art. 62 al. 2 OELP).</w:t>
      </w:r>
    </w:p>
    <w:p>
      <w:r>
        <w:t>- 6/6 -</w:t>
      </w:r>
    </w:p>
    <w:p>
      <w:r>
        <w:t>A/4848/2017-CS</w:t>
      </w:r>
    </w:p>
    <w:p>
      <w:r>
        <w:t>* * * * * PAR CES MOTIFS, La Chambre de surveillance : A la forme : Déclare irrecevable la plainte formée le 7 décembre 2017 par A______ contre la notification du commandement de payer, poursuite n°1______.</w:t>
      </w:r>
    </w:p>
    <w:p>
      <w:r>
        <w:t>Siégeant : Monsieur Patrick CHENAUX, président; Messieurs Georges ZUFFEREY et Eric DE PREUX,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