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DCSO/295/2017 vom 8. Juni 2017</w:t>
      </w:r>
    </w:p>
    <w:p>
      <w:r>
        <w:t>GE Cour de justice, 2017-06-08, FR</w:t>
      </w:r>
    </w:p>
    <w:p>
      <w:r>
        <w:rPr>
          <w:b/>
        </w:rPr>
        <w:t xml:space="preserve">Quelle: </w:t>
      </w:r>
      <w:r>
        <w:t>https://mcp.opencaselaw.ch/entscheid/ge_gerichte_DCSO_295_2017</w:t>
      </w:r>
    </w:p>
    <w:p>
      <w:r>
        <w:t>FR: GE_GERICHTE DCSO/295/2017 du 8 juin 2017</w:t>
      </w:r>
    </w:p>
    <w:p>
      <w:r>
        <w:t>IT: GE_GERICHTE DCSO/295/2017 del 8 giugno 2017</w:t>
      </w:r>
    </w:p>
    <w:p>
      <w:pPr>
        <w:pStyle w:val="Heading2"/>
      </w:pPr>
      <w:r>
        <w:t>Erwägungen</w:t>
      </w:r>
    </w:p>
    <w:p>
      <w:r>
        <w:rPr>
          <w:b/>
        </w:rPr>
        <w:t>E. 1</w:t>
      </w:r>
    </w:p>
    <w:p>
      <w:r>
        <w:t>1.1 La Chambre de surveillance est compétente pour statuer sur les plaintes formées en application de la LP (art. 13 LP; art. 125 et 126 al. 2 let. c LOJ ; art. 6 al. 1 et 3 et 7 al. 1 LaLP) contre des mesures prises par l'office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DALLEVES/FOËX/JEANDIN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augmentation des conclusions après l'expiration du délai de plainte n'est pas admissible (arrêt du Tribunal fédéral 5A_326/2015 du 14 janvier 2016 consid. 2.2). La plainte doit poursuivre un but pratique, soit en principe tendre à l'annulation ou la correction d'une mesure prise par l'Office, ou à ce qu'une mesure omise par l'Office soit ordonnée. En revanche, une plainte visant exclusivement la constatation d'une violation de la loi ou la réparation d'un dommage est irrecevable (ATF 138 III 265 consid. 3.2; DIETH/WOHL, op. cit., n° 10 ad art. 17 LP). C'est par la voie de l'action en responsabilité contre l'Etat, et non celle de la plainte, qu'une éventuelle prétention en dommages et intérêts ou en réparation du tort moral en relation avec la violation de ses obligations par l'Office doit être invoquée (art. 5 LP). Outre la violation de la loi, le plaignant peut faire valoir l'inopportunité d'une décision ou mesure de l'Office (art. 17 al. 1 LP). Ce grief ne peut toutefois être invoqué que si l'Office dispose d'un pouvoir d'appréciation (ERARD, op. cit., n° 19 ad art. 17 LP).</w:t>
      </w:r>
    </w:p>
    <w:p>
      <w:r>
        <w:rPr>
          <w:b/>
        </w:rPr>
        <w:t>E. 1.2</w:t>
      </w:r>
    </w:p>
    <w:p>
      <w:r>
        <w:t>En l'espèce, la plainte est d'emblée irrecevable en tant qu'elle vise les mesures et décisions prises par le SCARPA, lesquelles ne relèvent pas de la compétence de la Chambre de céans. Il en va de même de la conclusion tendant</w:t>
      </w:r>
    </w:p>
    <w:p>
      <w:r>
        <w:t>- 4/5 -</w:t>
      </w:r>
    </w:p>
    <w:p>
      <w:r>
        <w:t>A/98/2017-CS à ce que ce Service (soit en réalité l'Etat de Genève) soit enjoint de supporter seul les frais de poursuite. Alors que le sort des frais judiciaires relève du juge du séquestre, les frais de poursuite au sens strict devaient être avancés par le SCARPA, créancier poursuivant (art. 68 al. 1 LP). Ce dernier ayant retiré le séquestre avant réalisation, ils restent, sous l'angle du droit de l'exécution forcée, à sa charge sous réserve d'accords contraires entre poursuivant et poursuivi. En tout état, il n'incombait pas à l'Office de statuer sur ce point, qui échappe lui aussi à la compétence de la Chambre de surveillance. Il en va de même de la conclusion – nouvelle et donc irrecevable pour ce motif également – en paiement d'un montant au titre de dommages et intérêts, laquelle relève de l'action en responsabilité contre l'Etat (art. 5 LP). Dans la faible mesure où la Chambre de céans est compétente pour en connaître – soit en tant qu'elle vise la décision de l'Office d'exécuter le séquestre – la plainte est également irrecevable pour plusieurs motifs. Elle est en premier lieu tardive, le plaignant ayant eu connaissance de la décision contestée le 13 octobre 2016 et n'ayant formé plainte que le 6 janvier 2017. En deuxième lieu, elle ne répond à aucun intérêt pratique et actuel du plaignant – lequel se borne du reste à conclure à la constatation de l'inopportunité de la mesure attaquée – dès lors que le séquestre a depuis lors été levé et le seul objet séquestré restitué. En troisième et dernier lieu, les critiques du plaignant ne visent que l'inopportunité de la décision de l'Office alors que ce dernier, saisi comme en l'espèce d'une ordonnance de séquestre rendue par un juge compétent, régulière en sa forme et ne souffrant pas de défauts faisant obstacle à son exécution, était tenu, sous réserve de la vérification de sa propre compétence, de l'exécuter, et ne disposait donc à cet égard d'aucun pouvoir d'appréciation (ATF 129 III 203 consid. 2.3). La plainte est ainsi irrecevable.</w:t>
      </w:r>
    </w:p>
    <w:p>
      <w:r>
        <w:rPr>
          <w:b/>
        </w:rPr>
        <w:t>E. 2</w:t>
      </w:r>
    </w:p>
    <w:p>
      <w:r>
        <w:t>La procédure de plainte est gratuite (art. 20a al. 2 ch. 5 LP et art. 61 al. 2 let. a OELP) et il ne peut être alloué aucuns dépens dans cette procédure (art. 62 al. 2 OELP). * * * * *</w:t>
      </w:r>
    </w:p>
    <w:p>
      <w:r>
        <w:t>- 5/5 -</w:t>
      </w:r>
    </w:p>
    <w:p>
      <w:r>
        <w:t>A/98/2017-CS PAR CES MOTIFS, La Chambre de surveillance : A la forme : Déclare irrecevable la plainte formée le 6 janvier 2017 par A______ contre l'exécution par l'Office des poursuites du séquestre n° 16 xxxx84 Y, ordonné le 12 octobre 2016 par le Tribunal de première instance. Siégeant : Monsieur Patrick CHENAUX, présidente; Madame Natalie OPPATJA et Monsieur Christian CHAVAZ,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