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DCSO/293/2014 vom 3. Juni 2014</w:t>
      </w:r>
    </w:p>
    <w:p>
      <w:r>
        <w:t>GE Cour de justice, 2014-06-03, FR</w:t>
      </w:r>
    </w:p>
    <w:p>
      <w:r>
        <w:rPr>
          <w:b/>
        </w:rPr>
        <w:t xml:space="preserve">Quelle: </w:t>
      </w:r>
      <w:r>
        <w:t>https://mcp.opencaselaw.ch/entscheid/ge_gerichte_DCSO_293_2014</w:t>
      </w:r>
    </w:p>
    <w:p>
      <w:r>
        <w:t>FR: GE_GERICHTE DCSO/293/2014 du 3 juin 2014</w:t>
      </w:r>
    </w:p>
    <w:p>
      <w:r>
        <w:t>IT: GE_GERICHTE DCSO/293/2014 del 3 giugno 2014</w:t>
      </w:r>
    </w:p>
    <w:p>
      <w:pPr>
        <w:pStyle w:val="Heading2"/>
      </w:pPr>
      <w:r>
        <w:t>Erwägungen</w:t>
      </w:r>
    </w:p>
    <w:p>
      <w:r>
        <w:rPr>
          <w:b/>
        </w:rPr>
        <w:t>E. 1.1</w:t>
      </w:r>
    </w:p>
    <w:p>
      <w:r>
        <w:t>En vertu de l'art. 97 al. 1 LP, applicable par renvoi de l'art. 155 LP, l'Office des poursuites procède à l'estimation des biens immobiliers saisis et peut s'adjoindre des experts à cette fin (cf. ég. art. 99 al. 1 ORFI; GILLIERON, Commentaire de la loi sur la poursuite pour dettes et la faillite, 2000, n. 174 ad art. 140 LP; FOËX, in Commentaire romand LP, 2005, n. 17 ad art. 155 LP). Aux termes de l'art. 9 al. 1 ORFI, l'estimation doit déterminer la valeur vénale présumée de l'immeuble et de ses accessoires, sans égard au montant de la taxe cadastrale ou de la taxe de l'assurance contre l'incendie. Selon l'alinéa 2 de cette disposition, dans le délai de plainte contre la saisie (art. 17 al. 2 LP), chacun des intéressés a le droit d'exiger, en s'adressant à l'autorité de surveillance et moyennant avance des frais, qu'une nouvelle estimation soit faite par des experts (cf. ég. art. 99 al. 2 ORFI; FOËX, op. cit., n. 19 ad art. 155 LP). Il s'agit là d'un droit inconditionnel (arrêt du Tribunal fédéral 7B.163/2005 du 19 décembre 2005 consid. 1).</w:t>
      </w:r>
    </w:p>
    <w:p>
      <w:r>
        <w:rPr>
          <w:b/>
        </w:rPr>
        <w:t>E. 1.2</w:t>
      </w:r>
    </w:p>
    <w:p>
      <w:r>
        <w:t>En l'espèce, après avoir eu connaissance du résultat de l'expertise réalisée par l'architecte mandaté par l'Office, le plaignant a requis dans les délai et forme prescrits par la loi qu'une nouvelle estimation soit effectuée par un expert. Il a en outre payé en temps utile l'avance de frais fixée par ordonnance du 18 juin 2014. La demande de nouvelle expertise est partant recevable.</w:t>
      </w:r>
    </w:p>
    <w:p>
      <w:r>
        <w:t>- 4/7 -</w:t>
      </w:r>
    </w:p>
    <w:p>
      <w:r>
        <w:t>A/1729/2014-CS</w:t>
      </w:r>
    </w:p>
    <w:p>
      <w:r>
        <w:rPr>
          <w:b/>
        </w:rPr>
        <w:t>E. 2.1</w:t>
      </w:r>
    </w:p>
    <w:p>
      <w:r>
        <w:t>La valeur d'estimation d'un bien immobilier doit être fixée en fonction du produit prévisible de sa vente aux enchères forcées (DE GOTTRAU, in Commentaire romand LP, 2005, n. 6 et 8 ad art. 97 LP; FOËX, op. cit., n. 16 ad art. 155 LP). Compte tenu du fait que l'estimation d'un immeuble fait appel à des connaissances spécialisées dans le domaine de l'immobilier et de la construction, l'Office de même que, sur demande de nouvelle expertise, la Chambre de céans s'en remettent en principe à l'avis d'un expert, pour autant que celui-ci soit dûment motivé. En présence d'estimations différentes, émanant d'experts aussi compétents l'un que l'autre, la Chambre de céans ne peut trancher pour un moyen terme entre les deux estimations en présence que si les deux expertises effectuées retiennent toutes deux des critères appropriés et tiennent compte des circonstances pertinentes, et qu'ainsi la fixation du montant à retenir au titre de l'estimation des biens à réaliser relève pleinement de son pouvoir d'appréciation (ATF 120 III 79 consid. 1 et 2b). Il lui faut tenir compte, également, que l'estimation du bien à réaliser ne vise pas à déterminer si celui-ci devrait suffire à couvrir la créance à recouvrer ou excéderait cette couverture, mais qu'elle doit servir à orienter les parties à la procédure sur le résultat prévisible de la réalisation et à renseigner d'éventuels enchérisseurs (ATF 134 III 42 consid. 4; 120 III 79 consid. 3; arrêts du Tribunal fédéral 5A_450/2008 et 5A_451/2008 du 18 septembre 2008 consid. 3.1; GILLIÉRON, op. cit., n. 16 ad art. 97 LP).</w:t>
      </w:r>
    </w:p>
    <w:p>
      <w:r>
        <w:rPr>
          <w:b/>
        </w:rPr>
        <w:t>E. 2.2</w:t>
      </w:r>
    </w:p>
    <w:p>
      <w:r>
        <w:t>En l'espèce, la Chambre de céans constate que les deux expertises ont été réalisées par des experts dont aucun élément ne permet de retenir qu'ils ne disposeraient pas de compétences comparables. Elles se fondent sur des critères appropriés et convaincants, contestés ni par les parties ni par l'Office, à savoir la valeur intrinsèque de la parcelle concernée et l'état du marché immobilier. Enfin, elles comportent toutes les deux une présentation détaillée du bien immobilier, une visite des lieux a été effectuée et des plans ainsi que des photos ont été annexées. Si la seconde expertise prend en compte, pour fixer la valeur de la parcelle, les frais d'acquisition, critère qui ne saurait entrer en considération, ces frais ont toutefois été fixés séparément, de sorte que cela ne remet pas en cause les autres montants arrêtés par l'expert, ce poste devant simplement être porté en déduction de la valeur vénale retenue. Certes, il existe un écart important entre les valeurs arrêtées par les deux expertises, la différence étant de 750'000 fr. (6'250'000 fr. - 5'500'000 fr.). Il n'est toutefois pas rare que deux spécialistes aient un avis divergent sur le même objet. Cette différence s'explique par ailleurs principalement par le fait que les</w:t>
      </w:r>
    </w:p>
    <w:p>
      <w:r>
        <w:t>- 5/7 -</w:t>
      </w:r>
    </w:p>
    <w:p>
      <w:r>
        <w:t>A/1729/2014-CS deux experts n'ont pas procédé à la même analyse du marché immobilier actuel, ce qui n'apparaît toutefois pas surprenant compte tenu de la fluctuation dudit marché. L'écart entre les valeurs intrinsèques retenues (5'710'000 fr. pour la première expertise et 5'500'000 fr. pour la seconde) est en revanche moins significatif puisqu'il ne s'élève qu'à 200'000 fr. (360'000 fr. si l'on ne tient pas compte des frais d'acquisition retenus dans la seconde expertise, cf. supra) et est principalement dû au fait que les deux experts ont pris en compte des valeurs différentes pour le prix au mètre carré du terrain ainsi que de la villa et pour le taux de vétusté. Or, il est notoire que de telles valeurs sont sujettes à appréciation et qu'une différence ne signifie pas encore qu'une des deux expertises serait inexacte.</w:t>
      </w:r>
    </w:p>
    <w:p>
      <w:r>
        <w:t>Ainsi, compte tenu de ce qui précède, il convient d'arrêter la valeur vénale de la parcelle concernée à la moyenne des deux montants retenus par les experts, sous déduction, s'agissant de la seconde expertise, des frais d'acquisition, à savoir à 5'794'050 fr. (6'250'000 fr. + [5'549'600 fr. - 211'500 fr. de frais d'acquisition] = 11'588'100 fr. : 2 = 5'794'050 fr.), arrondie à 5'800'000 fr.</w:t>
      </w:r>
    </w:p>
    <w:p>
      <w:r>
        <w:rPr>
          <w:b/>
        </w:rPr>
        <w:t>E. 3</w:t>
      </w:r>
    </w:p>
    <w:p>
      <w:r>
        <w:t>Le second expert a arrêté ses honoraires à 3'200 fr. TTC, montant qui paraît conforme aux tarifs usuellement pratiqués dans la branche. Sa note d'honoraires du 16 septembre 2014 peut donc être approuvée. La nouvelle expertise ayant été requise par le débiteur poursuivi, son coût restera à la charge de ce dernier (art. 9 al. 2 1ère phr. ORFI). La note d'honoraires de l'expert étant inférieure au montant de l'avance de frais de 4'500 fr. versée par le débiteur poursuivi, les Services financiers du Pouvoir judiciaire seront invités à restituer à celui-ci le solde de cette avance, soit 1'300 fr. (4'500 fr. – 3'200 fr.). * * * * *</w:t>
      </w:r>
    </w:p>
    <w:p>
      <w:r>
        <w:t>- 6/7 -</w:t>
      </w:r>
    </w:p>
    <w:p>
      <w:r>
        <w:t>A/1729/2014-CS PAR CES MOTIFS, La Chambre de surveillance : A la forme :</w:t>
      </w:r>
    </w:p>
    <w:p>
      <w:r>
        <w:t>Déclare recevable la demande de nouvelle expertise formée le 16 juin 2014 par M. V______ dans le cadre de la poursuite en réalisation de gage immobilier no 13 xxxx19 E. Au fond: Fixe à 5'800'000 fr. la valeur de réalisation estimée de la parcelle no xx98 sise route Z_____ xx à 12xx X______. Arrête à 3'200 fr. les frais de la nouvelle expertise réalisée par M. T______, les met à la charge de M. V______ et les compense avec l'avance de frais de 4'500 fr. effectuée par ce dernier. Invite en conséquence les Services financiers du Pouvoir judiciaire à verser 3'200 fr. à M. T______ et à restituer 1'300 fr. à M. V______. Siégeant : Madame Valérie LAEMMEL-JUILLARD, présidente; Madame Florence KRAUSKOPF et Monsieur Patrick CHENAUX, juges; Madame Véronique PISCETTA, greffière.</w:t>
      </w:r>
    </w:p>
    <w:p>
      <w:r>
        <w:t>La présidente : Valérie LAEMMEL-JUILLARD</w:t>
      </w:r>
    </w:p>
    <w:p>
      <w:r>
        <w:t>La greffière : Véronique PISCETTA</w:t>
      </w:r>
    </w:p>
    <w:p>
      <w:r>
        <w:t>- 7/7 -</w:t>
      </w:r>
    </w:p>
    <w:p>
      <w:r>
        <w:t>A/1729/2014-CS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