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DCSO/291/2023 vom 29. Juni 2023</w:t>
      </w:r>
    </w:p>
    <w:p>
      <w:r>
        <w:t>GE Cour de justice, 2023-06-29, FR</w:t>
      </w:r>
    </w:p>
    <w:p>
      <w:r>
        <w:rPr>
          <w:b/>
        </w:rPr>
        <w:t xml:space="preserve">Quelle: </w:t>
      </w:r>
      <w:r>
        <w:t>https://mcp.opencaselaw.ch/entscheid/ge_gerichte_DCSO_291_2023</w:t>
      </w:r>
    </w:p>
    <w:p>
      <w:r>
        <w:t>FR: GE_GERICHTE DCSO/291/2023 du 29 juin 2023</w:t>
      </w:r>
    </w:p>
    <w:p>
      <w:r>
        <w:t>IT: GE_GERICHTE DCSO/291/2023 del 29 giugno 2023</w:t>
      </w:r>
    </w:p>
    <w:p>
      <w:pPr>
        <w:pStyle w:val="Heading2"/>
      </w:pPr>
      <w:r>
        <w:t>Erwägungen</w:t>
      </w:r>
    </w:p>
    <w:p>
      <w:r>
        <w:rPr>
          <w:b/>
        </w:rPr>
        <w:t>E. 1.1</w:t>
      </w:r>
    </w:p>
    <w:p>
      <w:r>
        <w:t>Déposée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dans cette mesure recevable.</w:t>
      </w:r>
    </w:p>
    <w:p>
      <w:r>
        <w:t>Il convient par ailleurs d'admettre qu'elle a été formée en temps utile, que le délai de dix jours prévu par l'art. 17 al. 2 LP soit calculé à compter du (probable) dernier jour du délai de garde du pli recommandé expédié le 3 avril 2023 – dont l'Office ne prétend pas qu'il aurait été retiré plus tôt –, soit le 11 avril 2023, ou du jour où le plaignant indique avoir reçu le pli simple expédié le même jour, soit le 17 avril 2023.</w:t>
      </w:r>
    </w:p>
    <w:p>
      <w:r>
        <w:t>La plainte est donc recevable.</w:t>
      </w:r>
    </w:p>
    <w:p>
      <w:r>
        <w:t>- 5/7 -</w:t>
      </w:r>
    </w:p>
    <w:p>
      <w:r>
        <w:t>A/1422/2023-CS</w:t>
      </w:r>
    </w:p>
    <w:p>
      <w:r>
        <w:rPr>
          <w:b/>
        </w:rPr>
        <w:t>E. 1.2</w:t>
      </w:r>
    </w:p>
    <w:p>
      <w:r>
        <w:t>Il ne sera en revanche pas entré en matière sur les conclusions de B______ SARL EN LIQUIDATION tendant à la prétendue préservation de ses intérêts, lesdits intérêts ne paraissant pas concerner la mesure faisant l'objet de la plainte et celle-là n'ayant pas elle-même formé une plainte.</w:t>
      </w:r>
    </w:p>
    <w:p>
      <w:r>
        <w:rPr>
          <w:b/>
        </w:rPr>
        <w:t>E. 2.1</w:t>
      </w:r>
    </w:p>
    <w:p>
      <w:r>
        <w:t>Selon l'art. 102 al. 1 LP, la saisie d'un immeuble s'étend à ses fruits (naturels et civils), dont les loyers et fermages (art. 14 ORFI; ATF 125 III 248 consid. 2; ZOPFI, in KUKO SchKG, 2ème édition, 2014, N 10 ad art. 102 LP).</w:t>
      </w:r>
    </w:p>
    <w:p>
      <w:r>
        <w:t>L'office des poursuites doit pourvoir à la gérance et à l'exploitation de l'immeuble saisi (art. 102 al. 3 LP), ce qui comprend notamment l'encaissement des éventuels loyers dus par des tiers en contrepartie de la cession de l'usage de l'immeuble (ZOPFI, op. cit., N 5 d art. 102 LP).</w:t>
      </w:r>
    </w:p>
    <w:p>
      <w:r>
        <w:t>L'art. 103 al. 2 LP prévoit que, si le débiteur poursuivi est sans ressources, il est prélevé ce qui est nécessaire à son entretien et à celui de sa famille. L'art. 93 al. 1 LP et la jurisprudence y relative s'appliquent à la détermination du minimum vital du débiteur et de sa famille. L'application de l'art. 103 al. 2 LP suppose par ailleurs que le débiteur ne puisse pas subvenir à ses besoins par d'autres revenus. Il lui incombe de déposer une demande motivée accompagnée dans la mesure du possible des pièces nécessaires (ZOPFI, op. cit., N 4 ad art. 103 LP).</w:t>
      </w:r>
    </w:p>
    <w:p>
      <w:r>
        <w:rPr>
          <w:b/>
        </w:rPr>
        <w:t>E. 2.2</w:t>
      </w:r>
    </w:p>
    <w:p>
      <w:r>
        <w:t>Il résulte en l'espèce du procès-verbal de saisie du 23 mars 2023, qui n'a fait l'objet d'aucune plainte, que la saisie a porté sur les immeubles du débiteur. Cette saisie englobant, conformément à l'art. 102 al. 1 LP, les fruits desdits immeubles, et donc les loyers dus en contrepartie de leur jouissance par des tiers, il incombait à l'Office de veiller à leur encaissement, d'où l'interdiction faite au plaignant de continuer à les encaisser lui-même.</w:t>
      </w:r>
    </w:p>
    <w:p>
      <w:r>
        <w:t>Contrairement à ce que paraît soutenir le plaignant, il n'appartenait par ailleurs pas à l'Office de rechercher lui-même, d'office, si celui-ci était sans ressources et s'il convenait donc, en application de l'art. 103 al. 2 LP, de renoncer à saisir tout ou partie des fruits des immeubles saisis afin de lui permettre d'assurer son entretien et celui de sa famille. C'est au contraire au plaignant qu'il aurait incombé de saisir l'Office d'une requête en ce sens, accompagnée de toutes pièces utiles au calcul de son minimum vital selon l'art. 93 al. 1 LP. Or ce n'est que le 21 avril 2023, soit simultanément au dépôt de la présente plainte, que le plaignant a sollicité de l'Office l'application en sa faveur de l'art. 103 al. 2 LP, et ce sans produire aucune pièce relative à ses ressources et charges.</w:t>
      </w:r>
    </w:p>
    <w:p>
      <w:r>
        <w:t>Le grief de violation des art. 102 et 103 LP est donc infondé en tant qu'il vise l'avis du 3 avril 2023. Il est prématuré en tant qu'il dénonce une mauvaise application par l'Office de l'art. 103 al. 2 LP, celui-ci n'ayant, au moment du dépôt de la plainte, encore rendu aucune décision sur ce point.</w:t>
      </w:r>
    </w:p>
    <w:p>
      <w:r>
        <w:rPr>
          <w:b/>
        </w:rPr>
        <w:t>E. 2.3</w:t>
      </w:r>
    </w:p>
    <w:p>
      <w:r>
        <w:t>C'est à tort par ailleurs que le plaignant croit discerner une contradiction entre la levée, en novembre 2020, du séquestre pénal portant sur les loyers des immeubles lui appartenant et la saisie, en avril 2023 soit deux ans et demi plus</w:t>
      </w:r>
    </w:p>
    <w:p>
      <w:r>
        <w:t>- 6/7 -</w:t>
      </w:r>
    </w:p>
    <w:p>
      <w:r>
        <w:t>A/1422/2023-CS tard, des loyers futurs de ces mêmes immeubles. Outre le fait que ces mesures ont été prononcées par des autorités distinctes, comme l'a relevé l'Office, elles s'inscrivent dans des contextes règlementaires totalement différents et poursuivent des buts de nature différente, ce que le plaignant, utilement assisté d'un avocat, devrait être en mesure de reconnaître.</w:t>
      </w:r>
    </w:p>
    <w:p>
      <w:r>
        <w:t>De la même manière, on ne voit pas en quoi la saisie porterait atteinte au principe de l'égalité entre les créanciers dans la mesure où les montants que ces derniers pourraient obtenir au terme des poursuites engagées viendront en imputation de la créance globale qu'ils invoquent à l'encontre du plaignant, que celle-ci soit ou non également invoquée dans le cadre de la procédure pénale n° P/9______/2014. Le fait que les créanciers agissant en premier, et donc participant à une série antérieure, soient avantagés par rapport à ceux participant à une série postérieure, constitue pour sa part une caractéristique de la procédure d'exécution forcée et, dans la mesure où elle est fondée sur l'existence de situations différentes, ne porte pas atteinte au principe de l'égalité entre les créanciers.</w:t>
      </w:r>
    </w:p>
    <w:p>
      <w:r>
        <w:t>La plainte est ainsi mal fondée dans son ensemble, ce qui conduit à son rejet.</w:t>
      </w:r>
    </w:p>
    <w:p>
      <w:r>
        <w:rPr>
          <w:b/>
        </w:rPr>
        <w:t>E. 3</w:t>
      </w:r>
    </w:p>
    <w:p>
      <w:r>
        <w:t>La procédure de plainte est gratuite (art. 20a al. 2 ch. 5 LP et art. 61 al. 2 let. a OELP) et il ne peut être alloué aucuns dépens dans cette procédure (art. 62 al. 2 OELP). * * * * *</w:t>
      </w:r>
    </w:p>
    <w:p>
      <w:r>
        <w:t>- 7/7 -</w:t>
      </w:r>
    </w:p>
    <w:p>
      <w:r>
        <w:t>A/1422/2023-CS PAR CES MOTIFS, La Chambre de surveillance : A la forme : Déclare recevable la plainte formée le 21 avril 2023 par A______ contre l'avis qui lui a été adressé le 3 avril 2023 dans la série n° 14_____. Au fond : La rejette. Siégeant : Monsieur Patrick CHENAUX, président; Madame Ekaterine BLINOVA et Monsieur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