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DCSO/27/2016 vom 21. Januar 2016</w:t>
      </w:r>
    </w:p>
    <w:p>
      <w:r>
        <w:t>GE Cour de justice, 2016-01-21, FR</w:t>
      </w:r>
    </w:p>
    <w:p>
      <w:r>
        <w:rPr>
          <w:b/>
        </w:rPr>
        <w:t xml:space="preserve">Quelle: </w:t>
      </w:r>
      <w:r>
        <w:t>https://mcp.opencaselaw.ch/entscheid/ge_gerichte_DCSO_27_2016</w:t>
      </w:r>
    </w:p>
    <w:p>
      <w:r>
        <w:t>FR: GE_GERICHTE DCSO/27/2016 du 21 janvier 2016</w:t>
      </w:r>
    </w:p>
    <w:p>
      <w:r>
        <w:t>IT: GE_GERICHTE DCSO/27/2016 del 21 gennaio 2016</w:t>
      </w:r>
    </w:p>
    <w:p>
      <w:pPr>
        <w:pStyle w:val="Heading2"/>
      </w:pPr>
      <w:r>
        <w:t>Erwägungen</w:t>
      </w:r>
    </w:p>
    <w:p>
      <w:r>
        <w:rPr>
          <w:b/>
        </w:rPr>
        <w:t>E. 1.1</w:t>
      </w:r>
    </w:p>
    <w:p>
      <w:r>
        <w:t>La Chambre de surveillance est compétente pour statuer sur les plaintes formées en application de la LP (art. 13 LP; art. 125 et 126 LOJ; art. 6 al. 1 et 3 ainsi que 7 al. 1 LaLP) contre des mesures non attaquables par la voie judiciaire (art. 17 al. 1 LP). La plainte doit être déposée dans les dix jours de celui où le plaignant a eu connaissance de la mesure (art. 17 al. 2 LP).</w:t>
      </w:r>
    </w:p>
    <w:p>
      <w:r>
        <w:rPr>
          <w:b/>
        </w:rPr>
        <w:t>E. 1.2</w:t>
      </w:r>
    </w:p>
    <w:p>
      <w:r>
        <w:t>Dans le cadre d'une saisie de revenus au sens de l'art. 93 al. 1 LP, s'appliquant par analogie à l'exécution du séquestre conformément à l'art. 275 LP, le moment déterminant pour la fixation du revenu à prendre en considération et des dépenses nécessaires, et par voie de conséquence pour le calcul de la quotité saisissable, est celui de l'exécution de la saisie (ATF 108 III 10 cons. 4). Les faits déterminant le revenu saisissable sont établis d'office (ATF 112 III 79 consid. 2 et les arrêts cités). La décision de l'Office à cet égard peut être contestée par la voie de la plainte selon l'art. 17 LP. En revanche, d'éventuelles modifications de la situation financière du débiteur intervenant postérieurement à l'exécution de la saisie ne doivent pas être demandées par la voie de la plainte mais, conformément à l'art. 93 al. 3 LP, par celle de l'adaptation par l'Office, d'office ou sur requête, de la saisie aux circonstances modifiées (ATF 121 III 120 cons. 3b; arrêt du Tribunal fédéral 5A_392_2012 du 19 juillet 2012 cons. 2.2). Cette nouvelle décision de l'Office peut également être remise en cause par la voie de la plainte selon l'art. 17 LP.</w:t>
      </w:r>
    </w:p>
    <w:p>
      <w:r>
        <w:rPr>
          <w:b/>
        </w:rPr>
        <w:t>E. 1.3</w:t>
      </w:r>
    </w:p>
    <w:p>
      <w:r>
        <w:t>En l'espèce, la plainte est dirigée contre une décision de l’Office en révision d'un procès-verbal de séquestre, prise en application de l'art. 93 al. 3 LP, de sorte qu'il s'agit d'une mesure sujette à plainte.</w:t>
      </w:r>
    </w:p>
    <w:p>
      <w:r>
        <w:rPr>
          <w:b/>
        </w:rPr>
        <w:t>E. 1.4</w:t>
      </w:r>
    </w:p>
    <w:p>
      <w:r>
        <w:t>La plaignante, qui, en tant que créancière séquestrante, a qualité pour agir par cette voie, a en outre procédé dans le délai légal de 10 jours ayant couru dès sa prise de connaissance de la décision critiquée (art. 17 al. 2 LP).</w:t>
      </w:r>
    </w:p>
    <w:p>
      <w:r>
        <w:t>- 6/8 -</w:t>
      </w:r>
    </w:p>
    <w:p>
      <w:r>
        <w:t>A/3686/2015-CS</w:t>
      </w:r>
    </w:p>
    <w:p>
      <w:r>
        <w:rPr>
          <w:b/>
        </w:rPr>
        <w:t>E. 2</w:t>
      </w:r>
    </w:p>
    <w:p>
      <w:r>
        <w:t>2.1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n. 82 s. ad art. 93 LP, et in SJ 2012 II 127). Enfin, la détermination du minimum vital n'a pas pour but de permettre au débiteur de conserver le train de vie qui était le sien avant la saisie, mais de déterminer quelles sont les dépenses indispensables et absolument nécessaires à son entretien. La loi garantit ainsi au débiteur la possibilité de mener une existence décente, mais elle ne le protège pas contre la perte des commodités de la vie (GILLIERON, Commentaire de la loi fédérale sur la poursuite pour dettes et la faillite, n. 83 ad art. 93 LP; ATF 106 III 104, rés. in JdT 1982 II 139).</w:t>
      </w:r>
    </w:p>
    <w:p>
      <w:r>
        <w:rPr>
          <w:b/>
        </w:rPr>
        <w:t>E. 2.2</w:t>
      </w:r>
    </w:p>
    <w:p>
      <w:r>
        <w:t>Dans la procédure de plainte, la question de savoir si et dans quelle mesure l'enquête menée par l'Office est défectueuse ou son résultat inexact ne doit être examinée qu'en ce qui concerne les éléments qui sont critiqués par le créancier dans le délai de dix jours dès la communication du procès-verbal de saisie ou de révision de ce procès-verbal (ATF 127 III 572 consid. 3c, JdT 2001 II 78; 86 III 53 consid. 1, JdT 1961 II 12).</w:t>
      </w:r>
    </w:p>
    <w:p>
      <w:r>
        <w:rPr>
          <w:b/>
        </w:rPr>
        <w:t>E. 2.3</w:t>
      </w:r>
    </w:p>
    <w:p>
      <w:r>
        <w:t>La plaignante conteste en l'occurrence la prise en compte du nouveau loyer du débiteur dans son minimum vital, en se fondant essentiellement sur deux motifs :</w:t>
      </w:r>
    </w:p>
    <w:p>
      <w:r>
        <w:rPr>
          <w:b/>
        </w:rPr>
        <w:t>E. 2.3.1</w:t>
      </w:r>
    </w:p>
    <w:p>
      <w:r>
        <w:t>Elle a fait valoir que ce nouveau loyer est excessif, le débiteur vivant seul et devant pouvoir disposer au plus d’un appartement d’une pièce, voire de deux, correspondant à des loyers de, respectivement, 1'000 fr. pour un deux pièces et 800 fr. pour un studio, selon les statistiques officielles genevoises 2014. Or, depuis octobre 2015, le débiteur paye un loyer mensuel de 1’085 fr. pour le deux pièces dans lequel il loge, sans les 115 fr. de charges variables dont il doit également s'acquitter.</w:t>
      </w:r>
    </w:p>
    <w:p>
      <w:r>
        <w:t>- 7/8 -</w:t>
      </w:r>
    </w:p>
    <w:p>
      <w:r>
        <w:t>A/3686/2015-CS Par conséquent, son loyer, sans ces charges, dépassant de 85 fr. le loyer statistique fixé pour l'année précédente 2014, il ne saurait être qualifié d'excessif. A cela s'ajoute que, pour ce prix, le débiteur peut aujourd'hui bénéficier d'une installation sanitaire qui n'existait pas dans son ancien studio, situé dans les locaux de la société C______ Sàrl. Cette circonstance est conforme à la loi, en tant qu'elle rétablit le débiteur dans une situation lui permettant de mener, au minimum, une existence décente, même en cas de saisie de salaire.</w:t>
      </w:r>
    </w:p>
    <w:p>
      <w:r>
        <w:rPr>
          <w:b/>
        </w:rPr>
        <w:t>E. 2.3.2</w:t>
      </w:r>
    </w:p>
    <w:p>
      <w:r>
        <w:t>La plaignante prétend en outre que le nouveau bail conclu par le débiteur serait fictif, puisque conclu sans dépôt d'une garantie bancaire, quand bien même le précité faisait l’objet de poursuites. En outre, ce bail est conclu pour une durée déterminée d'un an et 23 jours, correspondant à la durée de la saisie, et le loyer correspondant n'est plus pris en charge par l'employeur du débiteur. Il est toutefois établi par pièces que ce dernier payait son nouveau loyer effectivement et personnellement, au moment de la décision présentement critiquée, cela à une régie de la place et non pas à un propriétaire en personne, par hypothèse complaisant. En outre, le débiteur a donné des explications convaincantes au sujet de la durée de son bail actuel et il n'est pas anormal que son loyer ne soit plus pris en charge par l'entreprise qui l'emploie, du fait qu'il ne vit plus dans les locaux même de cette dernière. Par conséquent, il n'y a pas lieu d'admettre l'aspect fictif du nouveau bail du débiteur, tel qu'allégué par la plaignante.</w:t>
      </w:r>
    </w:p>
    <w:p>
      <w:r>
        <w:rPr>
          <w:b/>
        </w:rPr>
        <w:t>E. 2.4</w:t>
      </w:r>
    </w:p>
    <w:p>
      <w:r>
        <w:t>Vu l'ensemble de ce qui précède, la présente plainte sera rejetée.</w:t>
      </w:r>
    </w:p>
    <w:p>
      <w:r>
        <w:rPr>
          <w:b/>
        </w:rPr>
        <w:t>E. 3</w:t>
      </w:r>
    </w:p>
    <w:p>
      <w:r>
        <w:t>Conformément aux art. 20a al. 2 ch. 5 LP, 61 al. 2 let. a et 62 al. 2 OELP, il n'y a pas lieu de percevoir d'émolument de justice, ni d'allouer des dépens. * * * * *</w:t>
      </w:r>
    </w:p>
    <w:p>
      <w:r>
        <w:t>- 8/8 -</w:t>
      </w:r>
    </w:p>
    <w:p>
      <w:r>
        <w:t>A/3686/2015-CS PAR CES MOTIFS, La Chambre de surveillance : A la forme : Déclare recevable la plainte formée le 22 octobre 2015 par P______ SA contre la décision de l’Office des poursuites modifiant le 13 octobre 2015 le procès-verbal de séquestre n° 15 xxxxx5 X établi le 18 mars 2015. Au fond : Rejette cette plainte. Déboute les parties de toutes autres conclusions. Siégeant : Madame Valérie LAEMMEL-JUILLARD, présidente; Monsieur Georges ZUFFEREY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