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DCSO/27/2012 vom 19. Januar 2012</w:t>
      </w:r>
    </w:p>
    <w:p>
      <w:r>
        <w:t>GE Cour de justice, 2012-01-19, FR</w:t>
      </w:r>
    </w:p>
    <w:p>
      <w:r>
        <w:rPr>
          <w:b/>
        </w:rPr>
        <w:t xml:space="preserve">Quelle: </w:t>
      </w:r>
      <w:r>
        <w:t>https://mcp.opencaselaw.ch/entscheid/ge_gerichte_DCSO_27_2012</w:t>
      </w:r>
    </w:p>
    <w:p>
      <w:r>
        <w:t>FR: GE_GERICHTE DCSO/27/2012 du 19 janvier 2012</w:t>
      </w:r>
    </w:p>
    <w:p>
      <w:r>
        <w:t>IT: GE_GERICHTE DCSO/27/2012 del 19 gennaio 2012</w:t>
      </w:r>
    </w:p>
    <w:p>
      <w:pPr>
        <w:pStyle w:val="Heading2"/>
      </w:pPr>
      <w:r>
        <w:t>Erwägungen</w:t>
      </w:r>
    </w:p>
    <w:p>
      <w:r>
        <w:rPr>
          <w:b/>
        </w:rPr>
        <w:t>E. 1</w:t>
      </w:r>
    </w:p>
    <w:p>
      <w:r>
        <w:t>La Chambre de surveillance est compétente pour fixer le tarif horaire et le montant final de la rémunération de l'Administration spéciale et de la Commission de surveillance (art. 84 OAOF, applicable par renvoi de l'art. 97 OAOF ; 47 OELP ; art. 13 LP ; art. 125 et 126 LOJ ; art. 6 al. 1 et 7 al. 2 let. c LaLP). Elle jouit à cet égard d'un large pouvoir d'appréciation (ATF 130 III 176 consid. 1.2, JdT 2005 II 19).</w:t>
      </w:r>
    </w:p>
    <w:p>
      <w:r>
        <w:rPr>
          <w:b/>
        </w:rPr>
        <w:t>E. 2</w:t>
      </w:r>
    </w:p>
    <w:p>
      <w:r>
        <w:t>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rPr>
          <w:b/>
        </w:rPr>
        <w:t>E. 2.3</w:t>
      </w:r>
    </w:p>
    <w:p>
      <w:r>
        <w:t>Ainsi en définitive, compte tenu des remarques qui précèdent et des faits de la cause, les honoraires et les débours facturés par chacun des administrateurs spéciaux peuvent être approuvés globalement à hauteur des montants suivants : Pour M. S______ : 1'112'439 fr. Pour M. R______ :</w:t>
      </w:r>
    </w:p>
    <w:p>
      <w:r>
        <w:t>84'625 fr. Pour M. X______ :</w:t>
      </w:r>
    </w:p>
    <w:p>
      <w:r>
        <w:t>36'769 fr. Pour M. Z______ :</w:t>
      </w:r>
    </w:p>
    <w:p>
      <w:r>
        <w:t>147'050 fr. De même, les honoraires et les débours globalement facturés par chacun des membres de la Commission sont conformes, au regard des heures de travail effectuées, au tarif fixé, puis augmenté par l'Autorité de surveillance compétente à l'époque, de sorte que leurs rémunérations seront approuvées à hauteur des montants suivants : Pour M. M______ : 14'828 fr. Pour Mme G______ : 54'539 fr. Pour M. L______ : 94'667 fr. Pour M. V______ : 47'015 fr.</w:t>
      </w:r>
    </w:p>
    <w:p>
      <w:r>
        <w:t>* * * * *</w:t>
      </w:r>
    </w:p>
    <w:p>
      <w:r>
        <w:t>- 10/10 -</w:t>
      </w:r>
    </w:p>
    <w:p>
      <w:r>
        <w:t>A/4630/2011-CS PAR CES MOTIFS, La Chambre de surveillance : Arrête à 1'112'439 fr. la rémunération due à M. S______ Arrête à 84'625 fr. la rémunération due à M. R______ Arrête à 36'769 fr. la rémunération due à M. X______ Arrête à 147'050 fr. la rémunération due à M. Z______ Arrête à 14'828 fr.la rémunération due à M. M______ Arrête à 54’539 fr. la rémunération due à Mme G______ Arrête à 94’667 fr. la rémunération due à M. L______ Arrête à 47'015 fr. la rémunération due à M. V______</w:t>
      </w:r>
    </w:p>
    <w:p>
      <w:r>
        <w:t>Siégeant : Madame Ariane WEYENETH, présidente ; Madame Valérie LAEMMEL-JUILLARD et Monsieur Grégory BOVEY, juges.</w:t>
      </w:r>
    </w:p>
    <w:p>
      <w:r>
        <w:t>La présidente : Ariane WEYENETH</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