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DCSO/274/2016 vom 22. September 2016</w:t>
      </w:r>
    </w:p>
    <w:p>
      <w:r>
        <w:t>GE Cour de justice, 2016-09-22, FR</w:t>
      </w:r>
    </w:p>
    <w:p>
      <w:r>
        <w:rPr>
          <w:b/>
        </w:rPr>
        <w:t xml:space="preserve">Quelle: </w:t>
      </w:r>
      <w:r>
        <w:t>https://mcp.opencaselaw.ch/entscheid/ge_gerichte_DCSO_274_2016</w:t>
      </w:r>
    </w:p>
    <w:p>
      <w:r>
        <w:t>FR: GE_GERICHTE DCSO/274/2016 du 22 septembre 2016</w:t>
      </w:r>
    </w:p>
    <w:p>
      <w:r>
        <w:t>IT: GE_GERICHTE DCSO/274/2016 del 22 settembre 2016</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un procès-verbal de séquestre.</w:t>
      </w:r>
    </w:p>
    <w:p>
      <w:r>
        <w:t>- 4/7 -</w:t>
      </w:r>
    </w:p>
    <w:p>
      <w:r>
        <w:t>A/1951/2016-CS</w:t>
      </w:r>
    </w:p>
    <w:p>
      <w:r>
        <w:rPr>
          <w:b/>
        </w:rPr>
        <w:t>E. 1.2</w:t>
      </w:r>
    </w:p>
    <w:p>
      <w:r>
        <w:t>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w:t>
      </w:r>
    </w:p>
    <w:p>
      <w:r>
        <w:t>En l’espèce, le procès-verbal de séquestre a été notifié le 1er juin 2016 au plaignant. La plainte, expédiée le 10 juin 2016 et satisfaisant aux exigences de forme, est donc recevable.</w:t>
      </w:r>
    </w:p>
    <w:p>
      <w:r>
        <w:rPr>
          <w:b/>
        </w:rPr>
        <w:t>E. 1.3</w:t>
      </w:r>
    </w:p>
    <w:p>
      <w:r>
        <w:t>Sauf autorisation expresse de la Chambre de surveillance et fixation d'un délai pour ce faire, la plainte ne peut être complétée après son dépôt (art. 65 al. 3 LPA applicable par renvoi de l'art. 9 al. 4 LaLP). Cette règle, déduite de l'exigence de la forme écrite (art. 9 al. 1 LaLP; art. 64 al. 1 LPA) et du délai de forclusion pour déposer plainte (art. 17 al. 2 LP), implique que les conclusions et les pièces nouvelles produites spontanément sont irrecevables et doivent être écartées de la procédure (DCSO/94/2012 consid. 1.3; DCSO/324/2007 consid. 1b).</w:t>
      </w:r>
    </w:p>
    <w:p>
      <w:r>
        <w:t>Il s'ensuit que l'écriture expédiée spontanément le 6 septembre 2016, soit deux mois après la clôture de l’instruction de la cause, par le plaignant est irrecevable, ainsi que la pièce produite. Au demeurant, celle-ci est datée du 17 juin 2016, alors que l’instruction de la cause a été clôturée par la Chambre de surveillance le 6 juillet 2016, de sorte qu’elle ne concerne pas un fait nouveau.</w:t>
      </w:r>
    </w:p>
    <w:p>
      <w:r>
        <w:rPr>
          <w:b/>
        </w:rPr>
        <w:t>E. 2.1</w:t>
      </w:r>
    </w:p>
    <w:p>
      <w:r>
        <w:t>Selon l'art. 93 al. 1 LP, applicable au séquestre par renvoi de l'art. 275 LP, les revenus relativement saisissables tels que les revenus du travail ne peuvent être saisis que déduction faite de ce que le préposé estime indispensable au débiteur et à sa famille (minimum vital) (arrêt du Tribunal fédéral 5A_919/2012 du 11 février 2013 consid. 4.3).</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(RS/GE E 3 60.04; OCHSNER, Le minimum vital (art. 93 al. 1 LP), in SJ 2012 II p. 119 ss, 123; arrêt du Tribunal fédéral 5A_919/2012 du 11 février 2013, consid. 4.3.1).</w:t>
      </w:r>
    </w:p>
    <w:p>
      <w:r>
        <w:t>Les frais liés à l'entretien de l'enfant pendant l'exercice du droit de visite doivent être pris en considération dans le minimum vital du débiteur. Il faut ainsi déterminer le nombre de jours pendant lesquels s'exerce le droit de visite et y appliquer proportionnellement le montant de la base mensuelle d'entretien des enfants prévu par les Normes d'insaisissabilité (SJ 2000 II 214; arrêt du Tribunal fédéral 7B.145/2005 du 11 octobre 2005).</w:t>
      </w:r>
    </w:p>
    <w:p>
      <w:r>
        <w:t>- 5/7 -</w:t>
      </w:r>
    </w:p>
    <w:p>
      <w:r>
        <w:t>A/1951/2016-CS</w:t>
      </w:r>
    </w:p>
    <w:p>
      <w:r>
        <w:t>L'entretien de l'enfant majeur peut également être inclu dans le minimum vital du débiteur pour autant que les parents assument une obligation à cet égard (ATF 118 II 97 consid. 4; arrêt du Tribunal fédéral 7B.200/1999 du 26 novembre 1999).</w:t>
      </w:r>
    </w:p>
    <w:p>
      <w:r>
        <w:t>Les frais de logement ne sont incorporés dans le minimum vital qu’à hauteur de ce qui est nécessaire pour satisfaire le besoin de logement selon l’estimation locale usuelle et selon la situation de la famille. Si ces frais sont excessifs, le débiteur est tenu de les réduire et de les adapter à ses moyens financiers et aux conditions locales. Dans de tels cas, l’Office doit donner la possibilité au débiteur de réduire ses frais de logement dans un délai approprié de sorte qu’il sera tenu compte du loyer jugés excessifs jusqu’au prochain terme légal de congé (SJ 2000 II 214; OCHSNER, in Commentaire romand LP, 2005, n°113 ss, ad art. 93 LP).</w:t>
      </w:r>
    </w:p>
    <w:p>
      <w:r>
        <w:t>Les dettes ordinaires que rembourse chaque mois le débiteur ne font pas partie de son minimum vital, quand bien même il aurait pris des engagements dans ce sens (SJ 2000 II 2013; OCHSNER, op. cit., n° 157 ad art. 93 LP).</w:t>
      </w:r>
    </w:p>
    <w:p>
      <w:r>
        <w:t>Lorsque l’employeur invoque une créance qu’il aurait contre le débiteur et prétend vouloir exercer son droit de la compenser avec la créance salaire, l’Office doit en tenir compte et saisir le montant à compenser à titre de créance litigieuse si le créancier conteste la prétention de l’employeur (OCHSNER, op. cit., n° 170 ad art. 93 LP; GILLIERON, Commentaire LP, n. 35 ad art. 93).</w:t>
      </w:r>
    </w:p>
    <w:p>
      <w:r>
        <w:t>2.2.1 En l’espèce, le plaignant a déclaré à l’Office qu’il exerçait, dans les faits, une garde alternée sur ses enfants, ce que la mère a contesté. Dans la procédure de divorce, les parents ont chacun conclu à l’octroi de la garde exclusive. Il n’y a ainsi pas d’accord sur une prétendue garde alternée. Dans son arrêt du 18 décembre 2015, la Cour a, par ailleurs, considéré que la mère assumait l’essentiel de la prise en charge des enfants et que leur résidence principale se trouvait auprès d’elle. Au vu de ces éléments, le montant de 1'200 fr., correspondant au montant de base OP d’un débiteur vivant seul, doit être retenu dans les charges du plaignant.</w:t>
      </w:r>
    </w:p>
    <w:p>
      <w:r>
        <w:t>L’Office a ainsi correctement retenu ledit montant dans le calcul du minimum vital du plaignant.</w:t>
      </w:r>
    </w:p>
    <w:p>
      <w:r>
        <w:t>2.2.2 Ce dernier exerce son droit de visite à raison de deux soirs par semaine, soit le lundi et le mercredi à partir de 19h00 (environ quatre jours par mois), ainsi que un week-end sur deux du vendredi soir au dimanche soir, voire lundi matin (environ cinq jours par mois) et pendant la moitié des vacances scolaires (environ cinquante jours par année, soit quatre jours par mois; cf. DCSO/294/2013 du 28 novembre 2013, consid. 3.2), soit un total d'environ 13 jours par mois. Dès lors que le montant d'entretien de base pour un enfant de plus de dix ans s'élève à 600 fr. par mois selon les Normes d'insaisissabilité (ch. I.4.), les frais liés à l'exercice du droit de visite se montent à 260 fr. par mois</w:t>
      </w:r>
    </w:p>
    <w:p>
      <w:r>
        <w:t>- 6/7 -</w:t>
      </w:r>
    </w:p>
    <w:p>
      <w:r>
        <w:t>A/1951/2016-CS et par enfant (600 fr./30 jours = 20 fr. x 13 jours). Le montant retenu à ce titre par l’Office doit donc être modifié en ce sens.</w:t>
      </w:r>
    </w:p>
    <w:p>
      <w:r>
        <w:t>Il n’est pas contesté par les parties que l’entretien de l’enfant majeur, D______, doit être pris en compte dans les charges de son père, de sorte qu’un montant mensuel de 260 fr. sera comptabilisé à ce titre.</w:t>
      </w:r>
    </w:p>
    <w:p>
      <w:r>
        <w:t>2.2.3 A l’instar de la Cour, l’Office a estimé que le loyer effectif du plaignant était excessif au regard de sa situation. Cette appréciation est justifiée. En effet, un bail portant sur une villa de sept pièces au loyer mensuel de 5'200 fr. est excessif pour une personne seule, même au bénéfice d’un large droit de visite sur ses trois enfants. L’Office a donc pris en compte ledit loyer jusqu’au prochain terme légal de congé, soit jusqu’au 1er janvier 2017, et retenu un loyer de 2'267 fr., charges comprises, à compter de cette date. Ce montant, correspondant au loyer d’un appartement de 5 pièces à Genève selon le barème de l’Office cantonal de la statistique, paraît adéquat. L’Office a ainsi correctement appliqué les principes rappelés supra.</w:t>
      </w:r>
    </w:p>
    <w:p>
      <w:r>
        <w:t>2.2.4 Le droit de compensation soulevé par l’employeur du plaignant a été contesté par la créancière, de sorte que l’Office devait séquestrer cette créance. Par ailleurs, le plaignant se borne à alléguer que le prêt octroyé par son employeur devait être pris en compte dans son minimum vital, celui-ci ayant servi à assurer l’entretien de la famille, sans pour autant étayer ses dires.</w:t>
      </w:r>
    </w:p>
    <w:p>
      <w:r>
        <w:t>Dans tous les cas, l’Office n’a, à juste titre, pas tenu compte du remboursement de cette dette dans le minimum vital du plaignant.</w:t>
      </w:r>
    </w:p>
    <w:p>
      <w:r>
        <w:rPr>
          <w:b/>
        </w:rPr>
        <w:t>E. 2.3</w:t>
      </w:r>
    </w:p>
    <w:p>
      <w:r>
        <w:t>En conclusion, la plainte est partiellement admise en ce sens qu'il convient de retenir, dans les charges mensuelles du plaignant, un montant de 260 fr. destiné à couvrir les frais liés à l’exercice du droit de visite.</w:t>
      </w:r>
    </w:p>
    <w:p>
      <w:r>
        <w:t>Son minimum vital se monte ainsi à 2’610 fr. 20. Dès lors, toutes sommes supérieures à ce montant devront être séquestrées sur le salaire du plaignant versé par C______ SA.</w:t>
      </w:r>
    </w:p>
    <w:p>
      <w:r>
        <w:rPr>
          <w:b/>
        </w:rPr>
        <w:t>E. 3</w:t>
      </w:r>
    </w:p>
    <w:p>
      <w:r>
        <w:t>La procédure de plainte est gratuite (art. 20a al. 2 ch. 5 LP et art. 61 al. 2 let. a OELP) et il ne peut être alloué aucun dépens (art. 62 al. 2 OELP). * * * * *</w:t>
      </w:r>
    </w:p>
    <w:p>
      <w:r>
        <w:t>- 7/7 -</w:t>
      </w:r>
    </w:p>
    <w:p>
      <w:r>
        <w:t>A/1951/2016-CS PAR CES MOTIFS, La Chambre de surveillance : A la forme : Déclare recevable la plainte formée le 10 juin 2016 par A______ à l’encontre du procès- verbal de séquestre n° 16 xxxx79 N établi le 23 mars 2016 par l’Office des poursuites. Au fond : L'admet partiellement. Annule ledit procès-verbal de séquestre en tant qu’il porte sur le salaire de A______. Fixe le séquestre du salaire de A______ à tous montants supérieurs à 2’610 fr. 20 par mois. Siégeant : Madame Florence KRAUSKOPF, présidente; Madame Natalie OPPATJA et Monsieur Claude MARCET,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