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DCSO/273/2015 vom 16. September 2015</w:t>
      </w:r>
    </w:p>
    <w:p>
      <w:r>
        <w:t>GE Cour de justice, 2015-09-16, FR</w:t>
      </w:r>
    </w:p>
    <w:p>
      <w:r>
        <w:rPr>
          <w:b/>
        </w:rPr>
        <w:t xml:space="preserve">Quelle: </w:t>
      </w:r>
      <w:r>
        <w:t>https://mcp.opencaselaw.ch/entscheid/ge_gerichte_DCSO_273_2015</w:t>
      </w:r>
    </w:p>
    <w:p>
      <w:r>
        <w:t>FR: GE_GERICHTE DCSO/273/2015 du 16 septembre 2015</w:t>
      </w:r>
    </w:p>
    <w:p>
      <w:r>
        <w:t>IT: GE_GERICHTE DCSO/273/2015 del 16 settembre 2015</w:t>
      </w:r>
    </w:p>
    <w:p>
      <w:pPr>
        <w:pStyle w:val="Heading2"/>
      </w:pPr>
      <w:r>
        <w:t>Erwägungen</w:t>
      </w:r>
    </w:p>
    <w:p>
      <w:r>
        <w:rPr>
          <w:b/>
        </w:rPr>
        <w:t>E. 1.1</w:t>
      </w:r>
    </w:p>
    <w:p>
      <w:r>
        <w:t>Il résulte du Registre du commerce que la société plaignante a été dissoute par jugement du Tribunal de première instance du 4 décembre 2014, sa raison sociale étant depuis lors Z______ SA, EN LIQUIDATION. La qualité des parties sera donc rectifiée en ce sens.</w:t>
      </w:r>
    </w:p>
    <w:p>
      <w:r>
        <w:rPr>
          <w:b/>
        </w:rPr>
        <w:t>E. 1.2</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rPr>
          <w:b/>
        </w:rPr>
        <w:t>E. 2.1</w:t>
      </w:r>
    </w:p>
    <w:p>
      <w:r>
        <w:t>Le formalisme excessif constitue un cas particulier de déni de justice formel, proscrit par l'art. 29 al. 1 Cst. En matière de procédure, il y a formalisme excessif lorsque des règles sont appliquées avec une rigueur que ne justifie aucun intérêt digne de protection au point que la procédure devient une fin en soi et empêche ou complique de manière insoutenable l'application du droit (ATF 135 I 6 cons. 2.1; 132 I 249 cons. 5). L'application stricte des règles de procédure ne constitue cependant pas déjà en soi un formalisme excessif : de telles formes sont en effet indispensables au déroulement régulier des procédures et à l'application du droit matériel (ATF134 II 244 cons. 2.4.2; 118 V 311 cons. 4).</w:t>
      </w:r>
    </w:p>
    <w:p>
      <w:r>
        <w:rPr>
          <w:b/>
        </w:rPr>
        <w:t>E. 2.2</w:t>
      </w:r>
    </w:p>
    <w:p>
      <w:r>
        <w:t>Selon l'art. 67 al. 1 ch. 2 LP, la réquisition de poursuite doit énoncer les nom et domicile du débiteur.</w:t>
      </w:r>
    </w:p>
    <w:p>
      <w:r>
        <w:t>Est nulle de plein droit la poursuite engagée par – ou contre – une entité dépourvue de la capacité d'être partie du fait qu'elle ne jouit pas de la personnalité juridique (ATF 140 III 175 cons. 4.1). En revanche, la désignation inexacte, impropre ou équivoque, voire totalement fausse, ou incomplète d'une partie n'entraîne la nullité de la poursuite que lorsqu'elle est de nature à induire les intéressés en erreur et que tel a effectivement été le cas. Si ces conditions ne sont pas réalisées, la poursuite ne sera pas annulée : on se bornera, en cas de besoin, à ordonner que les actes de poursuite déjà réalisés soient rectifiés ou complétés (ATF 120 III 11 cons. 1b; Domenico ACOCELLA, in BaK SchKG I, 2ème édition, 2010, n° 27 ad art. 38 LP).</w:t>
      </w:r>
    </w:p>
    <w:p>
      <w:r>
        <w:t>- 4/7 -</w:t>
      </w:r>
    </w:p>
    <w:p>
      <w:r>
        <w:t>A/1770/2015-CS</w:t>
      </w:r>
    </w:p>
    <w:p>
      <w:r>
        <w:t>Il a ainsi été jugé qu'une poursuite engagée au nom du Haut-Commissariat des Nations Unies pour les Réfugiés (HCR), service de l'Organisation des Nations Unies dépourvu de la personnalité juridique, n'était pas nulle mais devait uniquement être rectifiée dès lors qu'aucun préjudice n'en était résulté pour le poursuivi (ATF 114 III 62). De même, une poursuite engagée contre une succursale au lieu de l'être contre la société elle-même n'était pas atteinte de nullité si l'inexactitude n'avait pas induit les intéressés en erreur (arrêt du Tribunal fédéral du 16 novembre 1989, in SJ 1990 p. 106). La situation est similaire si la poursuivante, telle qu'indiquée sur la réquisition de poursuite, est une succursale (ATF 120 III 11).</w:t>
      </w:r>
    </w:p>
    <w:p>
      <w:r>
        <w:rPr>
          <w:b/>
        </w:rPr>
        <w:t>E. 2.3</w:t>
      </w:r>
    </w:p>
    <w:p>
      <w:r>
        <w:t>Dans le cas d'espèce, il est constant que la Mission permanente de X______ auprès de l'OMC ne jouit pas de la personnalité juridique, ce qui emporte en principe la nullité de la poursuite. Conformément aux jurisprudences précitées, il convient toutefois de s'écarter de ce principe si d'une part, nonobstant la désignation défectueuse, l'identité du véritable débiteur poursuivi pouvait être établie sans qu'il y ait de doute et, d'autre part, qu'il n'en résulte aucun préjudice pour lui.</w:t>
      </w:r>
    </w:p>
    <w:p>
      <w:r>
        <w:t>Cette double condition est en l'espèce satisfaite. Il ne fait ainsi aucun doute, nonobstant la désignation erronée de la Mission permanente de X______ auprès de l'OMC en qualité de débiteur, que le plaignant entendait en réalité poursuivre l'Etat de X______ pour une dette liée au fonctionnement de la Mission. Il résulte du reste du contenu de la décision attaquée que l'Office ne s'y est pas trompé, puisqu'il y indique au plaignant de quelle manière procéder. Il est vrai, comme le relève l'Office, que l'erreur commise par le plaignant ne porte pas tant sur la désignation du débiteur, la Mission permanente de X______ auprès de l'OMC étant correctement désignée, que sur la capacité d'être partie de cette dernière et ses relations avec l'Etat de X______. A l'instar de la situation examinée dans l'ATF 114 III 62, cette circonstance est toutefois sans importance dès lors que l'identité du débiteur réel ne fait aucun doute. Dans la mesure où l'erreur commise par le plaignant a été décelée par l'Office avant la notification du commandement de payer, sa rectification ne portera par ailleurs aucun préjudice au poursuivi. La plainte doit donc être admise, la décision du 13 mai 2015 annulée et l'Office invité à procéder à la rectification de la qualité du débiteur poursuivi, celui-ci n'étant pas la Mission permanente de X______ auprès de l'OMC mais l'Etat de X______.</w:t>
      </w:r>
    </w:p>
    <w:p>
      <w:r>
        <w:t>- 5/7 -</w:t>
      </w:r>
    </w:p>
    <w:p>
      <w:r>
        <w:t>A/1770/2015-CS</w:t>
      </w:r>
    </w:p>
    <w:p>
      <w:r>
        <w:rPr>
          <w:b/>
        </w:rPr>
        <w:t>E. 3</w:t>
      </w:r>
    </w:p>
    <w:p>
      <w:r>
        <w:t>La procédure de plainte est gratuite (art. 20a al. 2 ch. 5 LP et art. 61 al. 2 let. a OELP) et il ne peut être alloué aucuns dépens dans cette procédure (art. 62 al. 2 OELP). * * * * *</w:t>
      </w:r>
    </w:p>
    <w:p>
      <w:r>
        <w:t>- 6/7 -</w:t>
      </w:r>
    </w:p>
    <w:p>
      <w:r>
        <w:t>A/1770/2015-CS PAR CES MOTIFS, La Chambre de surveillance : Préalablement : Ordonne la rectification des qualités de la partie plaignante, soit Z______ SA, EN LIQUIDATION en lieu et place de Z______ SA. A la forme : Déclare recevable la plainte formée par Z______ SA, EN LIQUIDATION contre la décision rendue le 13 mai 2015 par l'Office des poursuites. Au fond : L'admet. Annule la décision attaquée. Invite l'Office des poursuites à rectifier les qualités de la créancière poursuivante, conformément au présent dispositif, ainsi que du débiteur poursuivi, celui-ci étant l'Etat de X______ et non la Mission permanente de X______ auprès de l'OMC. Siégeant : Monsieur Patrick CHENAUX, président; Madame Valérie CARERA et Monsieur Denis KELLER, juges assesseur(e)s; Madame Angela FERRECCHIA PICCOLI, greffière.</w:t>
      </w:r>
    </w:p>
    <w:p>
      <w:r>
        <w:t>Le président : Patrick CHENAUX</w:t>
      </w:r>
    </w:p>
    <w:p>
      <w:r>
        <w:t>La greffière : Angela FERRECCHIA PICCOLI</w:t>
      </w:r>
    </w:p>
    <w:p>
      <w:r>
        <w:t>- 7/7 -</w:t>
      </w:r>
    </w:p>
    <w:p>
      <w:r>
        <w:t>A/1770/2015-CS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