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DCSO/272/2016 vom 22. Februar 2016</w:t>
      </w:r>
    </w:p>
    <w:p>
      <w:r>
        <w:t>GE Cour de justice, 2016-02-22, FR</w:t>
      </w:r>
    </w:p>
    <w:p>
      <w:r>
        <w:rPr>
          <w:b/>
        </w:rPr>
        <w:t xml:space="preserve">Quelle: </w:t>
      </w:r>
      <w:r>
        <w:t>https://mcp.opencaselaw.ch/entscheid/ge_gerichte_DCSO_272_2016</w:t>
      </w:r>
    </w:p>
    <w:p>
      <w:r>
        <w:t>FR: GE_GERICHTE DCSO/272/2016 du 22 février 2016</w:t>
      </w:r>
    </w:p>
    <w:p>
      <w:r>
        <w:t>IT: GE_GERICHTE DCSO/272/2016 del 22 febbraio 2016</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w:t>
      </w:r>
    </w:p>
    <w:p>
      <w:r>
        <w:t>En l’espèce, le plaignant conteste deux décisions distinctes prises par l’Office, soit celle du 11 mars 2016 refusant la réquisition de poursuite en validation du séquestre et le procès-verbal de ce séquestre établi le 1er juin 2016.</w:t>
      </w:r>
    </w:p>
    <w:p>
      <w:r>
        <w:t>La décision du 11 mars 2016 ayant été reçue par le plaignant, selon le timbre humide apposé sur ce document, le 15 mars 2016, la plainte déposée le 7 juin 2016 est tardive et, dès lors, irrecevable. En revanche, la plainte est recevable en tant qu'elle est dirigée contre le procès-verbal de séquestre du 1er juin 2016.</w:t>
      </w:r>
    </w:p>
    <w:p>
      <w:r>
        <w:rPr>
          <w:b/>
        </w:rPr>
        <w:t>E. 2</w:t>
      </w:r>
    </w:p>
    <w:p>
      <w:r>
        <w:t>Le plaignant conteste le non-lieu de séquestre en mains de C______ Sàrl visant le salaire de B______ et fait valoir que l’Office a tardé à établir le procès-verbal litigieux.</w:t>
      </w:r>
    </w:p>
    <w:p>
      <w:r>
        <w:t>- 4/6 -</w:t>
      </w:r>
    </w:p>
    <w:p>
      <w:r>
        <w:t>A/1884/2016-CS</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Conformément à l'art. 97 al. 2 LP, seuls les biens nécessaires pour satisfaire les créanciers séquestrants en capital, frais et intérêts doivent être séquestrés. Il en résulte que l'Office doit fixer l'assiette du séquestre, correspondant au montant de la créance pour laquelle le séquestre a été ordonné, augmenté des frais et intérêts prévisibles, et ne séquestrer les avoirs mentionnés dans l'ordonnance de séquestre, en respectant l'ordre fixé par l'art. 95 LP, qu'à hauteur de l'assiette fixée (ATF 120 III 49).</w:t>
      </w:r>
    </w:p>
    <w:p>
      <w:r>
        <w:t>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op. cit., n. 12 ad art. 91 LP).</w:t>
      </w:r>
    </w:p>
    <w:p>
      <w:r>
        <w:t>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121 III 20, JdT 1997 II 163; ATF 120 III 16, JdT 1996 II 179; OCHSNER, in Commentaire romand LP, 2005, n. 82 ss ad art. 93 LP et les références cités).</w:t>
      </w:r>
    </w:p>
    <w:p>
      <w:r>
        <w:t>L'art. 91 al. 4 LP prévoit que les tiers qui détiennent des biens du débiteur ou contre qui le débiteur a des créances ont, sous menace des peines prévues par la loi (art. 324 ch. 5 CP), la même obligation de renseigner que le débiteur.</w:t>
      </w:r>
    </w:p>
    <w:p>
      <w:r>
        <w:rPr>
          <w:b/>
        </w:rPr>
        <w:t>E. 2.2</w:t>
      </w:r>
    </w:p>
    <w:p>
      <w:r>
        <w:t>En l’espèce, l’Office a tenté d’obtenir des renseignements auprès de C______ Sàrl ainsi que de l'autre gérant de la société. Ces seules démarches sont insuffisantes. Après le dépôt de la plainte, l'Office a complété ses investigations en se rendant au siège de la société où il a constaté que l’adresse afférente n’était qu’une boîte aux lettres. L'Office a encore sollicité des informations de l'administration fiscale cantonale. Ces démarches complémentaires étaient nécessaires.</w:t>
      </w:r>
    </w:p>
    <w:p>
      <w:r>
        <w:t>Cela étant, le débiteur a une position dominante dans la société C______ Sàrl en sa qualité d’associé gérant et président, avec signature individuelle. Il est, en outre, vraisemblable que le deuxième associé de cette société soit un membre de la famille du débiteur, dès lors qu’ils portent le même patronyme. Dans ces circonstances, l’Office ne pouvait se satisfaire des seules déclarations du débiteur</w:t>
      </w:r>
    </w:p>
    <w:p>
      <w:r>
        <w:t>- 5/6 -</w:t>
      </w:r>
    </w:p>
    <w:p>
      <w:r>
        <w:t>A/1884/2016-CS affirmant ne pas percevoir de revenu, sans autre explication ou justificatif, et ce même si les tiers interpellés n’ont pas donné suite aux demandes répétées de renseignements. Au regard de la position du débiteur au sein de C______ Sàrl, ce dernier est en mesure de produire la documentation comptable de cette société afin de déterminer s’il perçoit un salaire ainsi que des dividendes ou autres primes.</w:t>
      </w:r>
    </w:p>
    <w:p>
      <w:r>
        <w:t>De plus, le débiteur est imposé à la source depuis l’année 2014, de sorte qu’il est aisé de déterminer ses revenus en requérant les renseignements utiles auprès du service compétent de l’administration fiscale cantonale, la documentation produite ne faisant qu'état des taxations d'office des années précédentes.</w:t>
      </w:r>
    </w:p>
    <w:p>
      <w:r>
        <w:t>Par conséquent, la plainte sera admise et l’Office invité à exiger du débiteur les pièces comptables relatives à C______ Sàrl, notamment les comptes audités de C______ Sàrl des deux dernières années, et à requérir les renseignements utiles auprès du service de l’impôt à la source de l’administration fiscale cantonale. L’Office sera également invité à investiguer sur des éléments supplémentaires découverts, le cas échéant, lors de l’examen des documents susmentionnés ainsi qu’à exiger les documents complémentaires qu’il estimera nécessaires.</w:t>
      </w:r>
    </w:p>
    <w:p>
      <w:r>
        <w:t>Enfin, il est constaté que le grief du retard injustifié dans l’établissement du procès-verbal de séquestre litigieux, soulevé par le plaignant, est fondé. En effet, au regard de la chronologie des faits, l’Office est resté inactif dans l’exécution dudit séquestre entre le 29 février 2016, date à laquelle le débiteur s’est présenté dans ses locaux, et le 23 mai 2016, date à laquelle il a, à nouveau, requis de C______ Sàrl des informations sur le salaire du poursuivi. L’Office ne pouvait ainsi pas être inactif dans l’exécution du séquestre pendant près de trois mois (art. 17 al. 3 LP et 276 al. 2 LP).</w:t>
      </w:r>
    </w:p>
    <w:p>
      <w:r>
        <w:rPr>
          <w:b/>
        </w:rPr>
        <w:t>E. 3</w:t>
      </w:r>
    </w:p>
    <w:p>
      <w:r>
        <w:t>La procédure de plainte est gratuite (art. 20a al. 2 ch. 5 LP et art. 61 al. 2 let. a OELP) et il ne peut être alloué aucun dépens (art. 62 al. 2 OELP).</w:t>
      </w:r>
    </w:p>
    <w:p>
      <w:r>
        <w:t>* * * * *</w:t>
      </w:r>
    </w:p>
    <w:p>
      <w:r>
        <w:t>- 6/6 -</w:t>
      </w:r>
    </w:p>
    <w:p>
      <w:r>
        <w:t>A/1884/2016-CS PAR CES MOTIFS, La Chambre de surveillance : A la forme : Déclare irrecevable la plainte formée le 7 juin 2016 par A______ en tant qu'elle est dirigée contre la décision de l’Office du 11 mars 2016. La déclare recevable en tant qu'elle est dirigée contre le procès-verbal de séquestre n° 16 xxxx25 X du 1er juin 2016. Au fond : Admet partiellement la plainte. Renvoie la cause à l’Office pour instruction complémentaire dans le sens des considérants.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