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DCSO/272/2012 vom 12. Januar 2012</w:t>
      </w:r>
    </w:p>
    <w:p>
      <w:r>
        <w:t>GE Cour de justice, 2012-01-12, FR</w:t>
      </w:r>
    </w:p>
    <w:p>
      <w:r>
        <w:rPr>
          <w:b/>
        </w:rPr>
        <w:t xml:space="preserve">Quelle: </w:t>
      </w:r>
      <w:r>
        <w:t>https://mcp.opencaselaw.ch/entscheid/ge_gerichte_DCSO_272_2012</w:t>
      </w:r>
    </w:p>
    <w:p>
      <w:r>
        <w:t>FR: GE_GERICHTE DCSO/272/2012 du 12 janvier 2012</w:t>
      </w:r>
    </w:p>
    <w:p>
      <w:r>
        <w:t>IT: GE_GERICHTE DCSO/272/2012 del 12 gennaio 2012</w:t>
      </w:r>
    </w:p>
    <w:p>
      <w:pPr>
        <w:pStyle w:val="Heading2"/>
      </w:pPr>
      <w:r>
        <w:t>Erwägungen</w:t>
      </w:r>
    </w:p>
    <w:p>
      <w:r>
        <w:rPr>
          <w:b/>
        </w:rPr>
        <w:t>E. 1</w:t>
      </w:r>
    </w:p>
    <w:p>
      <w:r>
        <w:t>En cas de plainte, l'office peut, jusqu'à l'envoi de sa réponse, procéder à un nouvel examen de la décision attaquée. S'il prend une nouvelle mesure, il la notifie sans délai aux parties et en donne connaissance à l'autorité de surveillance (art. 17 al. 4 LP).</w:t>
      </w:r>
    </w:p>
    <w:p>
      <w:r>
        <w:t>En l'espèce, l'Office a fait usage de cette faculté.</w:t>
      </w:r>
    </w:p>
    <w:p>
      <w:r>
        <w:t>La levée de la mesure du blocage étant postérieure au dépôt du la plainte, celle-ci doit être déclarée sans objet (ATF 118 Ia 488 consid. 1a; arrêt 5A_285/2010 du 10 juin 2010 consid. 2.2).</w:t>
      </w:r>
    </w:p>
    <w:p>
      <w:r>
        <w:t>La cause A/1594/2012 sera dès lors rayée du rôle.</w:t>
      </w:r>
    </w:p>
    <w:p>
      <w:r>
        <w:t>* * * * *</w:t>
      </w:r>
    </w:p>
    <w:p>
      <w:r>
        <w:t>- 3/3 -</w:t>
      </w:r>
    </w:p>
    <w:p>
      <w:r>
        <w:t>A/1593/2012-CS PAR CES MOTIFS, La Chambre de surveillance : Constate que la plainte formée par Mme M______ le 24 mai 2012 est, dans la mesure de sa recevabilité, devenue sans objet. Raye la cause A/1593/2012 du rôle.</w:t>
      </w:r>
    </w:p>
    <w:p>
      <w:r>
        <w:t>Siégeant : Madame Ariane WEYENETH, présidente; Monsieur Philipp GANZONI et Monsieur Claude MARCET,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