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DCSO/271/2017 vom 18. Mai 2017</w:t>
      </w:r>
    </w:p>
    <w:p>
      <w:r>
        <w:t>GE Cour de justice, 2017-05-18, FR</w:t>
      </w:r>
    </w:p>
    <w:p>
      <w:r>
        <w:rPr>
          <w:b/>
        </w:rPr>
        <w:t xml:space="preserve">Quelle: </w:t>
      </w:r>
      <w:r>
        <w:t>https://mcp.opencaselaw.ch/entscheid/ge_gerichte_DCSO_271_2017</w:t>
      </w:r>
    </w:p>
    <w:p>
      <w:r>
        <w:t>FR: GE_GERICHTE DCSO/271/2017 du 18 mai 2017</w:t>
      </w:r>
    </w:p>
    <w:p>
      <w:r>
        <w:t>IT: GE_GERICHTE DCSO/271/2017 del 18 maggio 2017</w:t>
      </w:r>
    </w:p>
    <w:p>
      <w:pPr>
        <w:pStyle w:val="Heading2"/>
      </w:pPr>
      <w:r>
        <w:t>Erwägungen</w:t>
      </w:r>
    </w:p>
    <w:p>
      <w:r>
        <w:rPr>
          <w:b/>
        </w:rPr>
        <w:t>E. 1.1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plainte, qui respecte les exigences de forme prévues par la loi, est en l'espèce dirigée contre les notifications par l'Office du commandement de payer et de la commination de faillite, qui sont des mesures pouvant être contestées par cette voie. La plaignante, poursuivie, a par ailleurs qualité pour former une plainte. Le délai de dix jours prévu par l'art. 17 al. 2 LP est respecté pour ce qui est de la notification de la commination de faillite, intervenue le 12 décembre 2016 : la plainte est donc, à cet égard, recevable. Elle ne respecte en revanche pas le délai légal en tant qu'elle est dirigée contre la notification du commandement de payer, intervenue le 21 septembre 2016 : ce</w:t>
      </w:r>
    </w:p>
    <w:p>
      <w:r>
        <w:t>- 4/7 -</w:t>
      </w:r>
    </w:p>
    <w:p>
      <w:r>
        <w:t>A/4384/2016-CS n'est donc que si cet acte est nul, comme le soutient la plaignante, que la Chambre de céans pourra le constater.</w:t>
      </w:r>
    </w:p>
    <w:p>
      <w:r>
        <w:rPr>
          <w:b/>
        </w:rPr>
        <w:t>E. 2.1</w:t>
      </w:r>
    </w:p>
    <w:p>
      <w:r>
        <w:t>Un commandement de payer ou une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 STOFFEL/CHABLOZ, Voies d'exécution, 2ème éd. 2010, § 3 n° 21 ss; KREN- KOSTKIEWICZ, Zustellung von Betreibungs-urkunden, in BlSchK 1996, p. 201 ss, 204).</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précité consid. 5a;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Cette notification ne doit pas nécessairement intervenir dans les bureaux de la société débitrice : une notification faite au domicile du représentant, le cas échéant en mains d'une personne adulte de son ménage s'il ne peut y être trouvé, est ainsi possible (ATF 134 III 112 consid. 3; 125 III 384 consid. 2).</w:t>
      </w:r>
    </w:p>
    <w:p>
      <w:r>
        <w:t>A titre subsidiaire, soit lorsqu'aucun représentant de la personne morale au sens de l'art. 65 al. 1 LP ne peut être trouvé dans ses bureaux, l'acte de poursuite peut être notifié à un employé de la débitrice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 C'est à l'Office qu'incombe le fardeau de la preuve de la notification régulière de l'acte, et en particulier, dans le cas d'une notification à une personne de</w:t>
      </w:r>
    </w:p>
    <w:p>
      <w:r>
        <w:t>- 5/7 -</w:t>
      </w:r>
    </w:p>
    <w:p>
      <w:r>
        <w:t>A/4384/2016-CS remplacement au sens de l'art. 65 al. 2 LP, de l'échec de la tentative de notification à un représentant au sens de l'art. 65 al. 1 ch. 2 LP (ATF 117 III 110 consid. 5d).</w:t>
      </w:r>
    </w:p>
    <w:p>
      <w:r>
        <w:rPr>
          <w:b/>
        </w:rPr>
        <w:t>E. 2.2</w:t>
      </w:r>
    </w:p>
    <w:p>
      <w:r>
        <w:t>Dans le cas d'espèce, la plaignante disposait dans le canton de Genève, où était situé son siège, de plusieurs locaux. L'un d'entre eux, sis D______, figurait au Registre du commerce sous la rubrique "adresse" alors qu'un autre, sis E______ au F______, y figurait également mais sous la rubrique "autre adresse", ce qui donne à penser que la première constituait l'adresse principale alors que la seconde n'était que secondaire. Lors des deux notifications intervenues à l'adresse du E______ au F______, l'agent notificateur n'a trouvé aucun représentant autorisé de la société au sens de l'art. 65 al. 1 LP. Aucun élément du dossier ne permet par ailleurs de retenir qu'un tel représentant aurait régulièrement déployé son activité pour le compte de la société dans ces locaux : au contraire, le fait que la personne en mains de laquelle les actes de poursuite ont pu être notifiés se soit présentée comme la "responsable d'agence" permet de considérer que, bien que non inscrite au Registre du commerce, elle était hiérarchiquement à la tête de l'unité active dans ces locaux. L'adresse du E______ au F______ ne constitue donc pas un bureau de la débitrice au sens de l'art. 65 al. 2 LP. Il en résulte que l'Office ne pouvait procéder à une notification subsidiaire au sens de cette disposition. L'objectif poursuivi par l'art. 65 al. 1 LP consiste en effet à faire en sorte que les actes de poursuite parviennent en mains d'une personne physique pouvant agir pour le compte de la personne morale poursuivie (ATF 88 III 12 consid. 2). Or ce but ne peut être atteint que si, avant de remettre l'acte à un employé, l'agent notificateur cherche à le notifier en mains d'un représentant autorisé, et ce dans les locaux où ce représentant exerce usuellement son activité. Les notifications intervenues les 21 septembre et 12 décembre 2016 dans les locaux sis E______ au F______ sont donc viciées.</w:t>
      </w:r>
    </w:p>
    <w:p>
      <w:r>
        <w:rPr>
          <w:b/>
        </w:rPr>
        <w:t>E. 3</w:t>
      </w:r>
    </w:p>
    <w:p>
      <w:r>
        <w:t>La notification irrégulière d'un acte de poursuite n'est, en principe, pas sanctionnée d'une nullité absolue : l'acte est simplement annulable sur plainte formée dans le délai de dix jours de l'art. 17 al. 2 LP.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JEANNERET/LEMBO, in CR LP, n° 33 ad art. 64; GEHRI, in KUKO SchKG, 2ème édition, 2014, n° 5 ad art. 64). Si l'acte irrégulièrement notifié parvient effectivement à son destinataire, il déploie ses effets à compter de la date de cette prise de connaissance (ATF 128 III 101 consid. 2).</w:t>
      </w:r>
    </w:p>
    <w:p>
      <w:r>
        <w:t>- 6/7 -</w:t>
      </w:r>
    </w:p>
    <w:p>
      <w:r>
        <w:t>A/4384/2016-CS</w:t>
      </w:r>
    </w:p>
    <w:p>
      <w:r>
        <w:t>L'annulation, sur plainte, d'un acte de poursuite irrégulièrement notifié mais néanmoins parvenu au débiteur suppose en outre que ce dernier ait subi, du fait de l'irrégularité de la notification, un préjudice. Tel ne sera pas le cas si le poursuivi a une connaissance de l'acte telle qu'une nouvelle notification n'apporterait rien de plus, pour autant que ses droits soient sauvegardés (GILLIERON, Commentaire LP, n° 28 ad remarques introductives aux art. 64-66 LP; JEANNERET/LEMBO, op. cit., n° 34 ad art. 64 LP; ANGST, in BAK SchKG I, n° 23 ad art. 64 LP; ATF 112 III 81 consid. 2b).</w:t>
      </w:r>
    </w:p>
    <w:p>
      <w:r>
        <w:rPr>
          <w:b/>
        </w:rPr>
        <w:t>E. 3.2</w:t>
      </w:r>
    </w:p>
    <w:p>
      <w:r>
        <w:t>Dans le cas d'espèce, la plaignante n'a jamais contesté avoir effectivement eu connaissance du commandement de payer notifié – irrégulièrement – le 21 septembre 2016. Elle a au contraire produit sous pièce 4 de son bordereau l'exemplaire "débiteur" de cet acte, ce qui démontre qu'il est effectivement parvenu, certes à une date non déterminée, en mains d'un organe de la débitrice. Le contraire aurait du reste été surprenant dès lors que le commandement de payer a été remis à une responsable d'agence, soit à une employée occupant des fonctions suffisamment importantes pour savoir qu'il devait être remis à un organe dirigeant.</w:t>
      </w:r>
    </w:p>
    <w:p>
      <w:r>
        <w:t>Contrairement à ce que soutient la plaignante, le commandement de payer notifié le 21 septembre 2016 n'est ainsi pas nul. Faute d'avoir fait l'objet d'une plainte dans un délai de dix jours dès la prise de connaissance de son contenu essentiel par la société débitrice, il est au contraire valide.</w:t>
      </w:r>
    </w:p>
    <w:p>
      <w:r>
        <w:rPr>
          <w:b/>
        </w:rPr>
        <w:t>E. 3.3</w:t>
      </w:r>
    </w:p>
    <w:p>
      <w:r>
        <w:t>Bien que la débitrice ait formé plainte en temps utile contre la notification de la commination de faillite, et que cette notification ait effectivement été frappée d'une irrégularité, son annulation ne se justifie pas faute d'un intérêt juridique à une nouvelle notification. Il est en effet constant que cette commination de faillite, comme le commandement de payer avant elle, est parvenue à un organe de la plaignante. On ne voit dès lors pas quel avantage juridique cette dernière pourrait retirer d'une nouvelle notification, étant en particulier relevé que, du fait de l'effet suspensif ordonné pour la durée de la présente procédure de plainte, elle a dans les faits pu bénéficier d'un délai de paiement largement supérieur à celui de vingt jours prévu par l'art. 166 al. 1 LP.</w:t>
      </w:r>
    </w:p>
    <w:p>
      <w:r>
        <w:t>La plainte est donc, de ce point de vue également, mal fondée.</w:t>
      </w:r>
    </w:p>
    <w:p>
      <w:r>
        <w:rPr>
          <w:b/>
        </w:rPr>
        <w:t>E. 4</w:t>
      </w:r>
    </w:p>
    <w:p>
      <w:r>
        <w:t>La procédure de plainte est gratuite (art. 20a al. 2 ch. 5 LP et art. 61 al. 2 let. a OELP) et il ne peut être alloué aucuns dépens dans cette procédure (art. 62 al. 2 OELP). * * * * *</w:t>
      </w:r>
    </w:p>
    <w:p>
      <w:r>
        <w:t>- 7/7 -</w:t>
      </w:r>
    </w:p>
    <w:p>
      <w:r>
        <w:t>A/4384/2016-CS PAR CES MOTIFS, La Chambre de surveillance : A la forme : Déclare recevable la plainte formée le 21 décembre 2016 par A______ SA dans la poursuite n° 16 xxxx23 Z. Au fond : La rejette. Siégeant : Monsieur Patrick CHENAUX, président; Messieurs Michel BERTSCHY et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