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DCSO/26/2025 vom 30. Oktober 2024</w:t>
      </w:r>
    </w:p>
    <w:p>
      <w:r>
        <w:t>GE Cour de justice, 2024-10-30, FR</w:t>
      </w:r>
    </w:p>
    <w:p>
      <w:r>
        <w:rPr>
          <w:b/>
        </w:rPr>
        <w:t xml:space="preserve">Quelle: </w:t>
      </w:r>
      <w:r>
        <w:t>https://mcp.opencaselaw.ch/entscheid/ge_gerichte_DCSO_26_2025</w:t>
      </w:r>
    </w:p>
    <w:p>
      <w:r>
        <w:t>FR: GE_GERICHTE DCSO/26/2025 du 30 octobre 2024</w:t>
      </w:r>
    </w:p>
    <w:p>
      <w:r>
        <w:t>IT: GE_GERICHTE DCSO/26/2025 del 30 ottobre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GILLIERON, Commentaire de la loi fédérale sur la poursuite pour dettes et la faillite, n. 40 ad art. 50 LP). L'élection doit se rapporter à une ou des obligations spécifiées envers un créancier déterminé (ATF 119 III 54 consid. 2e; 107 III 53 consid. 4a; arrêt 7B.55/2006 du 21 septembre 2006 consid. 2.2.1 et les références citées).</w:t>
      </w:r>
    </w:p>
    <w:p>
      <w:r>
        <w:t>2.1.2 L'élection d'un for de la poursuite est une manifestation de volonté qui s'interprète selon les règles de la bonne foi (SCHÜPBACH, CR LP, n. 12 ad art. 50 LP; SCHMID, BSK SchKG, n. 34 ad art. 50 LP).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(ATF 68 III 61; 86 III 81 consid. 2). La simple convention quant au lieu d'exécution ou de paiement (cf. art. 74 CO) n'implique pas élection de for d'exécution forcée, sauf en ce qui concerne les lettres de change ou les titres au porteur (ATF 119 III 54 consid. 2f; 89 III 1, p. 4; 86 III 81 consid. 2; arrêt 7B.55/2006 déjà cité consid. 2.2.2).</w:t>
      </w:r>
    </w:p>
    <w:p>
      <w:r>
        <w:t>Un domicile spécial ne peut être créé que pour des créances déterminées ou déterminables en faveur de certains créanciers (SCHMID, BSK SchKG, n. 35 ad art. 50 LP et les références).</w:t>
      </w:r>
    </w:p>
    <w:p>
      <w:r>
        <w:rPr>
          <w:b/>
        </w:rPr>
        <w:t>E. 2.2</w:t>
      </w:r>
    </w:p>
    <w:p>
      <w:r>
        <w:t>En l'espèce, le contrat ne stipule pas que le lieu d'exécution de l'une ou l'autre des obligations serait en Suisse et ne contient pas une clause d'élection d'un for de la poursuite en Suisse.</w:t>
      </w:r>
    </w:p>
    <w:p>
      <w:r>
        <w:t>La question qui se pose est celle de savoir si la clause qui autorise la plaignante à pouvoir obtenir un jugement et/ou à pouvoir faire exécuter un jugement (enforcing) dans une juridiction de son choix peut de bonne foi être comprise comme une clause d'élection d'un for de la poursuite en Suisse pour l'exécution du contrat au sens de l'art. 50 al. 2 LP.</w:t>
      </w:r>
    </w:p>
    <w:p>
      <w:r>
        <w:t>- 4/5 -</w:t>
      </w:r>
    </w:p>
    <w:p>
      <w:r>
        <w:t>A/3748/2024-CS</w:t>
      </w:r>
    </w:p>
    <w:p>
      <w:r>
        <w:t>Tel n'est pas le cas. En effet, quand bien même l'exécution d'un jugement portant sur le versement d'une somme d'argent s'opère en Suisse selon les dispositions de la LP (cf. art. 335 al. 2 CPC), la poursuite litigieuse ne porte en l'espèce pas sur l'exécution forcée d'un jugement – arbitral, suisse ou étranger - condamnant la poursuivie à payer une somme d'argent à la plaignante. La poursuite litigieuse tend au recouvrement d'une somme d'argent réclamée au titre d'une pénalité résultant du MASTER SERVICES AGREEMENT, lequel ne stipule pas que les obligations découlant du contrat peuvent faire l'objet d'une exécution forcée en Suisse.</w:t>
      </w:r>
    </w:p>
    <w:p>
      <w:r>
        <w:t>La plainte doit donc être rejetée.</w:t>
      </w:r>
    </w:p>
    <w:p>
      <w:r>
        <w:rPr>
          <w:b/>
        </w:rPr>
        <w:t>E. 3</w:t>
      </w:r>
    </w:p>
    <w:p>
      <w:r>
        <w:t>La procédure devant l'autorité de surveillance est gratuite (art. 20a al. 2 ch. 5 LP; art. 61 al. 2 let. a OELP) et ne donne pas lieu à l'allocation de dépens (art. 62 al. 2 OELP). * * * * *</w:t>
      </w:r>
    </w:p>
    <w:p>
      <w:r>
        <w:t>- 5/5 -</w:t>
      </w:r>
    </w:p>
    <w:p>
      <w:r>
        <w:t>A/3748/2024-CS PAR CES MOTIFS, La Chambre de surveillance :</w:t>
      </w:r>
    </w:p>
    <w:p>
      <w:r>
        <w:t>A la forme : Déclare recevable la plainte formée le 11 novembre 2024 par A______ DMCC contre la décision de l'Office cantonal des poursuites du 30 octobre 2024 dans la poursuite N° 1______. Au fond : La rejette. Siégeant : Madame Verena PEDRAZZINI RIZZI, présidente; Madame Alisa RAMELET- TELQIU et Monsieur Denis KELLER, juges assesseurs ;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