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DCSO/26/2019 vom 17. Januar 2019</w:t>
      </w:r>
    </w:p>
    <w:p>
      <w:r>
        <w:t>GE Cour de justice, 2019-01-17, FR</w:t>
      </w:r>
    </w:p>
    <w:p>
      <w:r>
        <w:rPr>
          <w:b/>
        </w:rPr>
        <w:t xml:space="preserve">Quelle: </w:t>
      </w:r>
      <w:r>
        <w:t>https://mcp.opencaselaw.ch/entscheid/ge_gerichte_DCSO_26_2019</w:t>
      </w:r>
    </w:p>
    <w:p>
      <w:r>
        <w:t>FR: GE_GERICHTE DCSO/26/2019 du 17 janvier 2019</w:t>
      </w:r>
    </w:p>
    <w:p>
      <w:r>
        <w:t>IT: GE_GERICHTE DCSO/26/2019 del 17 gennaio 2019</w:t>
      </w:r>
    </w:p>
    <w:p>
      <w:pPr>
        <w:pStyle w:val="Heading2"/>
      </w:pPr>
      <w:r>
        <w:t>Erwägungen</w:t>
      </w:r>
    </w:p>
    <w:p>
      <w:r>
        <w:rPr>
          <w:b/>
        </w:rPr>
        <w:t>E. 1</w:t>
      </w:r>
    </w:p>
    <w:p>
      <w:r>
        <w:t>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La plainte a en l'espèce été déposée en temps utile et répond aux exigences de forme prescrites par les dispositions légales applicables. Elle émane de l'administration de la faillite de la succursale, qui, dans la mesure où elle considère que les avoirs encore séquestrés tombent dans la masse, est susceptible d'être lésée dans ses intérêts juridiquement protégés. Bien qu'elle ne comporte que des conclusions en constatation de nullité, respectivement en annulation, on comprend de son contenu que l'Office des faillites souhaite également qu'il soit constaté que les biens séquestrés tombent dans la masse. La plainte est donc, dans cette mesure, recevable.</w:t>
      </w:r>
    </w:p>
    <w:p>
      <w:r>
        <w:rPr>
          <w:b/>
        </w:rPr>
        <w:t>E. 1.3</w:t>
      </w:r>
    </w:p>
    <w:p>
      <w:r>
        <w:t>Pour les Offices, la question à résoudre est celle de la "propriété" ou de la titularité des avoirs concernés : s'il fallait admettre que ceux-ci appartiennent à la société luxembourgeoise et non à la Succursale, ils ne tomberaient pas dans la masse et devraient être réalisés dans le cadre de la poursuite n° 3______ alors que, dans le cas contraire, ils échapperaient à cette réalisation spéciale et tomberaient dans la masse active de la Succursale. L'intimée fait un pas supplémentaire en soutenant que, dans la mesure où les litiges portant sur la propriété de biens séquestrés ou saisis relèvent exclusivement des juridictions civiles, la plainte serait irrecevable. Ces raisonnements se fondent sur la prémisse – erronée – de l'existence de deux patrimoines distincts et séparés. En réalité cependant, la succursale, qui ne jouit pas de la personnalité juridique, ne peut détenir d'éléments patrimoniaux en son nom, pas plus qu'elle ne peut être elle-même débitrice. Il n'existe qu'un patrimoine, celui de la société elle-même, dont une partie est liée à l'exploitation de la Succursale.</w:t>
      </w:r>
    </w:p>
    <w:p>
      <w:r>
        <w:t>- 5/7 -</w:t>
      </w:r>
    </w:p>
    <w:p>
      <w:r>
        <w:t>A/2580/2018-CS La question n'est donc pas de savoir à qui les actifs séquestrés appartiennent, nul ne contestant que la société luxembourgeoise en soit titulaire, mais s'ils doivent être compris dans la masse active de la liquidation par voie de faillite de la Succursale. Or la question de savoir si un actif saisi dans le cadre d'une poursuite tombe ou non dans la masse en faillite du même débiteur relève effectivement de la compétence de l'autorité de surveillance (ATF 74 III 40 consid. 1), de telle sorte que la plainte est recevable.</w:t>
      </w:r>
    </w:p>
    <w:p>
      <w:r>
        <w:rPr>
          <w:b/>
        </w:rPr>
        <w:t>E. 2.1</w:t>
      </w:r>
    </w:p>
    <w:p>
      <w:r>
        <w:t>En vertu du principe de la territorialité de la poursuite exprimé par la disposition précitée et rappelé par le Tribunal fédéral (ATF 107 III 53 consid. 4e), le débiteur domicilié à l'étranger ne peut être en principe être poursuivi en Suisse. S'il possède un établissement stable en Suisse – par exemple une succursale – il pourra toutefois être poursuivi au lieu de cet établissement pour les dettes nées de l'exploitation de ce dernier (art. 50 al. 1 LP).</w:t>
      </w:r>
    </w:p>
    <w:p>
      <w:r>
        <w:t>Si la faillite du débiteur domicilié à l'étranger est déclarée au for de sa succursale en Suisse, seuls tomberont dans la masse les éléments patrimoniaux liés à son exploitation. La masse passive comprendra donc les créances de tiers en relation avec la succursale, alors que la masse active réunira les biens liés à son exploitation (BRACONI, in CR LDIP/CL, 2011, Bucher [éd.], N 32 et 33 ad art. 166 LDIP; KAUFMANN-KOHLER/RIGOZZI, in CR LP, N 89 et 90 ad art. 166 LDIP; JEANNERET/STRUB, KUKO SchKG, 2ème édition, 2014, N 10 ad art. 50 LP), certains auteurs considérant toutefois que la totalité des biens du débiteur se trouvant en Suisse ferait partie de la masse active (SCHMID, in BSK SchKG I, 2ème éd. 2010, N 27 ad art. 50 LP; BENNO, in Kommentar zum SchKG, 4ème édition, 2017, Kren Kostkiewicz/Vock [éd.], N 6 ad art. 50 LP; KREN KOSTKIEWICZ/PENON, Zur Arrestprosequierung im nationalen und internationalen Kontext, BlSchK 2012, 213 ss., 22; KREN KOSTKIEWICZ/SCHNEIDER, Ausländerarrest und besondere Betreibungsorte in der Schweiz – Ausschluss oder parallele Anwendbarkeit ?, in BlSchK 2014, 81 ss., 91).</w:t>
      </w:r>
    </w:p>
    <w:p>
      <w:r>
        <w:rPr>
          <w:b/>
        </w:rPr>
        <w:t>E. 2.2</w:t>
      </w:r>
    </w:p>
    <w:p>
      <w:r>
        <w:t>Dans le cas d'espèce, le Tribunal n'a certes pas déclaré la faillite de la société luxembourgeoise mais n'en a pas moins ordonné la dissolution (sic) et la liquidation selon les règles de la faillite de sa succursale genevoise. Cette décision, que l'Office des faillites est tenu d'exécuter, doit être interprétée en ce sens qu'il lui incombe de procéder à la liquidation du patrimoine lié à la succursale, comme il l'aurait fait si la faillite de la débitrice domiciliée à l'étranger avait été prononcée en Suisse, au lieu de la succursale, au terme d'une poursuite conduite au for prévu par l'art. 50 al. 1 LP.</w:t>
      </w:r>
    </w:p>
    <w:p>
      <w:r>
        <w:t>La masse active se compose donc de l'ensemble des actifs en relation avec l'exploitation de la Succursale, voire, selon une partie de la doctrine, à l'ensemble des actifs de la société elle-même sis en Suisse. Il n'est toutefois pas nécessaire en l'espèce d'examiner les mérites respectifs de ces opinions doctrinales dès lors que le compte bancaire abritant les avoirs séquestrés était expressément ouvert</w:t>
      </w:r>
    </w:p>
    <w:p>
      <w:r>
        <w:t>- 6/7 -</w:t>
      </w:r>
    </w:p>
    <w:p>
      <w:r>
        <w:t>A/2580/2018-CS au nom de la Succursale, à qui les extraits et documents bancaires ainsi que la correspondance étaient adressées, ce qui permet de retenir que les montants s'y trouvant avaient pour vocation de servir à son exploitation. Ils tombent donc, en application de l'art. 199 al. 1 LP, dans la masse active.</w:t>
      </w:r>
    </w:p>
    <w:p>
      <w:r>
        <w:rPr>
          <w:b/>
        </w:rPr>
        <w:t>E. 2.3</w:t>
      </w:r>
    </w:p>
    <w:p>
      <w:r>
        <w:t>Selon l'intimée, l'art. 199 al. 2 LP ferait toutefois obstacle à ce que les avoirs faisant encore l'objet de la saisie tombent dans la masse active de la faillite, dès lors que les délais de participation à la saisie étaient échus au moment où la liquidation par voie de faillite a été ordonnée. Il ne s'agit là toutefois que de l'une des conditions cumulatives à l'application de cette disposition, l'autre étant que l'Office des poursuites soit en possession du produit de la réalisation en espèces, de telle sorte qu'une distribution soit possible. Or il est établi que les avoirs encore saisis ont soit été soustraits à l'exécution forcée dans la poursuite introduite par l'intimée soit revêtent la forme d'une créance litigieuse, non encore réalisée. L'argument est donc mal fondé.</w:t>
      </w:r>
    </w:p>
    <w:p>
      <w:r>
        <w:rPr>
          <w:b/>
        </w:rPr>
        <w:t>E. 2.4</w:t>
      </w:r>
    </w:p>
    <w:p>
      <w:r>
        <w:t>Il résulte des considérants qui précèdent que les actifs encore séquestrés, respectivement saisis, tombent dans la masse en faillite de la Succursale, ce qui sera constaté. La décision rendue le 16 juillet 2018 par l'Office des poursuites sera par voie de conséquence annulée.</w:t>
      </w:r>
    </w:p>
    <w:p>
      <w:r>
        <w:rPr>
          <w:b/>
        </w:rPr>
        <w:t>E. 3</w:t>
      </w:r>
    </w:p>
    <w:p>
      <w:r>
        <w:t>La procédure de plainte est gratuite (art. 20a al. 2 ch. 5 LP et art. 61 al. 2 let. a OELP) et il ne peut être alloué aucuns dépens dans cette procédure (art. 62 al. 2 OELP). * * * * *</w:t>
      </w:r>
    </w:p>
    <w:p>
      <w:r>
        <w:t>- 7/7 -</w:t>
      </w:r>
    </w:p>
    <w:p>
      <w:r>
        <w:t>A/2580/2018-CS PAR CES MOTIFS, La Chambre de surveillance : A la forme : Déclare recevable la plainte formée le 27 juillet 2018 par l'Office des faillites contre la décision rendue le 16 juillet 2018 par l'Office des poursuites dans la poursuite n° 3______. Au fond : Annule ladite décision. Constate que les droits de la débitrice A______ SARL à l'encontre de C______ SA en relation avec le compte n° 1______ encore saisis dans la poursuite n° 3______ tombent dans la masse en faillite de la succursale genevoise de A______ SARL. Siégeant : Monsieur Patrick CHENAUX, président; Messieurs Georges ZUFFEREY et Claude MARCET,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