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DCSO/26/2016 vom 21. Januar 2016</w:t>
      </w:r>
    </w:p>
    <w:p>
      <w:r>
        <w:t>GE Cour de justice, 2016-01-21, FR</w:t>
      </w:r>
    </w:p>
    <w:p>
      <w:r>
        <w:rPr>
          <w:b/>
        </w:rPr>
        <w:t xml:space="preserve">Quelle: </w:t>
      </w:r>
      <w:r>
        <w:t>https://mcp.opencaselaw.ch/entscheid/ge_gerichte_DCSO_26_2016</w:t>
      </w:r>
    </w:p>
    <w:p>
      <w:r>
        <w:t>FR: GE_GERICHTE DCSO/26/2016 du 21 janvier 2016</w:t>
      </w:r>
    </w:p>
    <w:p>
      <w:r>
        <w:t>IT: GE_GERICHTE DCSO/26/2016 del 21 gennaio 2016</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Sont nulles les poursuites introduites en violation du principe de l'interdiction de l'abus de droit, tel qu'il résulte de l'art. 2 al. 2 CC (ATF 140 III 481 cons. 2.3.1).</w:t>
      </w:r>
    </w:p>
    <w:p>
      <w:r>
        <w:t>- 4/6 -</w:t>
      </w:r>
    </w:p>
    <w:p>
      <w:r>
        <w:t>A/3827/2015-CS</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w:t>
      </w:r>
    </w:p>
    <w:p>
      <w:r>
        <w:rPr>
          <w:b/>
        </w:rPr>
        <w:t>E. 2.2</w:t>
      </w:r>
    </w:p>
    <w:p>
      <w:r>
        <w:t>Dans le cas d'espèce, il n'est pas contesté que la poursuite n° 15 xxxx94 V porte – même si les montants réclamés divergent – sur la même créance que celles introduites par l'intimé en 2012 et 2014 (poursuites nos 12 xxxx30 N et 14 xxxx06 F). La première de ces deux poursuites s'est conclue par la délivrance au créancier poursuivant d'un acte de défaut de biens alors que la seconde s'est éteinte en raison de l'expiration du délai pour requérir la vente des actifs saisis (art. 121 LP). L'on ne voit pas dès lors en quoi le dépôt par l'intimé – dont le plaignant n'allègue pas qu'il aurait été désintéressé dans l'intervalle – pourrait dans son principe être qualifié d'abusif. En particulier, la délivrance d'un acte de défaut de biens au terme d'une poursuite antérieure portant sur la même créance n'entraîne nullement, contrairement à ce que paraît soutenir le plaignant, que le créancier serait privé de la possibilité de procéder à de nouvelles poursuites pour recouvrer ce qu'il estime lui être dû.</w:t>
      </w:r>
    </w:p>
    <w:p>
      <w:r>
        <w:t>En l'occurrence, le seul élément venant à l'appui de l'affirmation du plaignant selon laquelle le seul but poursuivi par l'intimé en requérant une nouvelle poursuite à son encontre serait de lui nuire réside dans le fait que le créancier poursuivant n'a pas sollicité en temps utile la vente des avoirs saisis dans le cadre de la poursuite n° 14 xxxx06 F, renonçant ainsi à ce que la procédure de réalisation forcée aille à son terme. Il résulte toutefois du dossier que la valeur de réalisation des seuls actifs saisis, soit les parts sociales de la société X______ SARL appartenant au débiteur, avait été estimée à 1 fr., de telle sorte que le créancier poursuivant pouvait légitimement craindre que leur réalisation forcée se solde par un résultat net négatif, et donc par la mise à sa charge de frais supplémentaires : sa renonciation à requérir la vente ne peut donc être interprétée comme un indice d'une volonté de tourmenter le débiteur plutôt que de recouvrer une créance.</w:t>
      </w:r>
    </w:p>
    <w:p>
      <w:r>
        <w:t>Pour le surplus, aucun élément du dossier ne permet de penser que, par l'introduction de la poursuite litigieuse, l'intimé ait poursuivi un autre but que celui – légitime – de recouvrer un montant qu'il estime lui être dû. Il résulte au contraire du courrier du 2 septembre 2015 qu'il a annexé à la réquisition de</w:t>
      </w:r>
    </w:p>
    <w:p>
      <w:r>
        <w:t>- 5/6 -</w:t>
      </w:r>
    </w:p>
    <w:p>
      <w:r>
        <w:t>A/3827/2015-CS poursuite, comme des observations qu'il a déposées dans le cadre de la présente procédure de plainte, que l'intimé considère que le plaignant a dissimulé l'existence de certains actifs lors des précédentes poursuites intentées à son encontre portant sur la même créance et qu'il souhaite dès lors que, dans le cadre de la poursuite nouvellement introduite, l'Office procède à leur saisie : en d'autres termes, il espère que la nouvelle poursuite, contrairement à celles qui l'ont précédée, permettra de le désintéresser en totalité ou en partie.</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- 6/6 -</w:t>
      </w:r>
    </w:p>
    <w:p>
      <w:r>
        <w:t>A/3827/2015-CS PAR CES MOTIFS, La Chambre de surveillance : A la forme : Déclare recevable la plainte formée le 2 novembre 2015 par M. A______ contre la poursuite n° 15 xxxx94 V. Au fond : La rejette. Siégeant : Monsieur Patrick CHENAUX, président; Monsieur Georges ZUFFEREY et Monsieur Christian CHAVAZ, juges assesseurs; Madame Angela FERRECCHIA PICCOLI, greffière.</w:t>
      </w:r>
    </w:p>
    <w:p>
      <w:r>
        <w:t>Le président : Patrick CHENAUX</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