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DCSO/267/2022 vom 6. Januar 2017</w:t>
      </w:r>
    </w:p>
    <w:p>
      <w:r>
        <w:t>GE Cour de justice, 2017-01-06, FR</w:t>
      </w:r>
    </w:p>
    <w:p>
      <w:r>
        <w:rPr>
          <w:b/>
        </w:rPr>
        <w:t xml:space="preserve">Quelle: </w:t>
      </w:r>
      <w:r>
        <w:t>https://mcp.opencaselaw.ch/entscheid/ge_gerichte_DCSO_267_2022</w:t>
      </w:r>
    </w:p>
    <w:p>
      <w:r>
        <w:t>FR: GE_GERICHTE DCSO/267/2022 du 6 janvier 2017</w:t>
      </w:r>
    </w:p>
    <w:p>
      <w:r>
        <w:t>IT: GE_GERICHTE DCSO/267/2022 del 6 gennaio 2017</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à savoir un procès-verbal de séquestre, et par des parties lésées dans leurs intérêts (ATF 138 III 219 consid. 2.3; 129 III 595 consid. 3; 120 III 42 consid. 3), la plainte est recevable.</w:t>
      </w:r>
    </w:p>
    <w:p>
      <w:r>
        <w:rPr>
          <w:b/>
        </w:rPr>
        <w:t>E. 2</w:t>
      </w:r>
    </w:p>
    <w:p>
      <w:r>
        <w:t>Les plaignants soutiennent que l'Office aurait dû refuser de faire porter le séquestre sur les montres et bijoux saisis dans la procédure pénale dirigée contre eux, qui n'appartiendraient de toute évidence pas au débiteur séquestré mais à son épouse, s'agissant d'objets destinés à être portés par une femme.</w:t>
      </w:r>
    </w:p>
    <w:p>
      <w:r>
        <w:t>2.1.1 Conformément à l'art. 272 al. 1 ch. 3 LP, le séquestre est autorisé à condition que le créancier rende vraisemblable qu'il existe des biens appartenant au débiteur séquestré; par cette disposition le législateur a codifié la jurisprudence d'après laquelle le créancier doit rendre plausible la propriété du débiteur sur les biens à mettre sous main de justice (ATF 126 III 95 consid. 4a). La question de la titularité du bien séquestré peut être débattue dans le cadre de l'opposition au séquestre (art. 278 LP), mais la décision définitive à ce sujet relève exclusivement de la procédure de revendication prévue par les art. 106 ss LP (arrêt du Tribunal fédéral, 5A_697/2008 du 6 mai 2009 consid. 2.3 et les références citées).</w:t>
      </w:r>
    </w:p>
    <w:p>
      <w:r>
        <w:t>Lorsqu'il fait droit à une requête de séquestre, le juge du séquestre désigne les droits à séquestrer dans l'ordonnance de séquestre (art. 274 al. 2 ch. 4 LP), que l'office des poursuites compétent est en principe tenu d'exécuter (art. 275 LP). Dans les cas où il serait douteux ou improbable que les avoirs indiqués fassent partie du patrimoine du débiteur, l'Office ne peut refuser d'agir : il doit séquestrer les biens et donner au tiers qui s'en déclare propriétaire la possibilité de faire valoir ses droits dans le cadre d'une revendication conformément aux art. 106 ss LP. L'Office ne peut renoncer au séquestre que si la situation est tout à fait claire, lorsqu'il est évident que l'objet litigieux appartient à un tiers</w:t>
      </w:r>
    </w:p>
    <w:p>
      <w:r>
        <w:t>- 5/9 -</w:t>
      </w:r>
    </w:p>
    <w:p>
      <w:r>
        <w:t>A/560/2022-CS (RO 109 III 126, résumé in JdT 1986 II 54). Il n'appartient donc ni à l'Office, ni aux autorités de surveillance, de se prononcer sur la propriété des biens ou la titularité des créances (arrêts du Tribunal fédéral 5A_925/2012 et 5A_15/2013 du</w:t>
      </w:r>
    </w:p>
    <w:p>
      <w:r>
        <w:rPr>
          <w:b/>
        </w:rPr>
        <w:t>E. 2.2</w:t>
      </w:r>
    </w:p>
    <w:p>
      <w:r>
        <w:t>En l'espèce, il résulte de la procédure pénale que les montres et bijoux ont été découverts par la police à l'intérieur d'un coffre-fort dont les plaignants détenaient le code. Ils ont été séquestrés au préjudice de ces derniers et la fille des plaignants a indiqué qu'il s'agissait d'objets de ses parents.</w:t>
      </w:r>
    </w:p>
    <w:p>
      <w:r>
        <w:t>Ces éléments suffisent à considérer que les montres et bijoux saisis font - aussi - partie du patrimoine du débiteur séquestré. L'affirmation selon laquelle il s'agirait exclusivement de montres et bijoux de femme ne résulte pas sans conteste de la lecture de l'inventaire établi par la police. Quand bien même cette affirmation serait avérée, elle ne suffirait pas à elle seule pour admettre que ces biens, au vu de leur destination, ne pourraient être que la propriété de l'épouse du débiteur séquestré et pas de ce dernier.</w:t>
      </w:r>
    </w:p>
    <w:p>
      <w:r>
        <w:t>L'appartenance de tous les objets séquestrés à l'épouse du débiteur séquestré ne résultant pas de manière évidente du dossier, l'Office était tenu de faire porter le séquestre sur ces biens. La plaignante dispose quant à elle de la possibilité de faire valoir ses droits par le biais de la procédure de revendication des art. 106 et ss LP. Mal fondé, ce grief sera donc rejeté. 3. Les plaignants reprochent à l'Office d'avoir établi le procès-verbal de séquestre sans procéder à une quelconque estimation des bijoux et montres séquestrés et d'avoir séquestré beaucoup plus que nécessaire, eu égard à l'assiette du séquestre et à la valeur de ces biens. Ils sollicitent pour ces motifs la levée du séquestre en tant qu'il porte sur les bijoux et montres.</w:t>
      </w:r>
    </w:p>
    <w:p>
      <w:r>
        <w:t>3.1.1 Selon l'art. 97 al. 2 LP, applicable par analogie à l'exécution du séquestre en vertu de l'art. 275 LP, l'Office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in KUKO SchKG, n° 7 ad art. 275 LP).</w:t>
      </w:r>
    </w:p>
    <w:p>
      <w:r>
        <w:t>Selon le texte légal, le montant de l'assiette du séquestre comporte trois éléments, à savoir le capital de la créance pour laquelle le séquestre a été ordonné, les intérêts sur cette créance et les frais de poursuite, qui comprennent les frais judiciaires de l'ordonnance de séquestre, ceux d'exécution du séquestre, les frais de poursuite futurs (y compris les frais liés à une procédure sommaire de mainlevée; OCHSNER, Exécution du séquestre, in JT 2006 II 77, p. 111).</w:t>
      </w:r>
    </w:p>
    <w:p>
      <w:r>
        <w:t>3.1.2 Le procès-verbal de séquestre, que l'Office doit dresser, contient la désignation des biens séquestrés et de leur valeur (art. 276 LP). Il doit mentionner</w:t>
      </w:r>
    </w:p>
    <w:p>
      <w:r>
        <w:t>- 6/9 -</w:t>
      </w:r>
    </w:p>
    <w:p>
      <w:r>
        <w:t>A/560/2022-CS toutes les opérations entreprises par l'office pour l'exécution ainsi que les évènements survenus postérieurement. Par exemple, le procès-verbal mentionnera : la date à laquelle les avis prévus à l'art. 99 LP ont été expédiés ou communiqués aux tiers; les réponses obtenues de leur part; les démarches subséquentes entreprises par l'office en vue de déterminer les actifs visés; les décisions de l'office relatives aux mesures de sûretés prises en application des art. 98 ss LP; ou encore la substitution des actifs par des sûretés en vertu de l'art. 277 LP (OCHSNER op. cit., p. 116).</w:t>
      </w:r>
    </w:p>
    <w:p>
      <w:r>
        <w:t>Compte tenu des aléas de l'exécution, toutes ces informations ne pourront pas être mentionnées immédiatement. L'office ne peut toutefois pas attendre de toutes les avoir en sa possession avant d'expédier le procès-verbal. Il faut donc admettre que le procès-verbal puisse être complété après une première expédition qui devra au moins contenir les mesures d'exécution prises par l'office, ainsi que la portée de ces mesures pour autant qu'elle soit connue ou les raisons pour lesquelles elle ne peut pas être établie (OCHSNER, op. cit., p. 117).</w:t>
      </w:r>
    </w:p>
    <w:p>
      <w:r>
        <w:t>3.2. Selon les termes de l'art. 44 LP, la réalisation d'objets confisqués en vertu des lois fédérales ou cantonales en matière pénale ou fiscale s'opère en conformité avec ces lois.</w:t>
      </w:r>
    </w:p>
    <w:p>
      <w:r>
        <w:t>La jurisprudence applique cette disposition au séquestre pénal, lorsque celui-ci a pour but de garantir la confiscation, la restitution au lésé, le paiement des frais de procédure, le paiement des peines pécuniaires, le paiement des amendes ou le paiement des indemnités (art. 265 CPP). Un séquestre pénal ordonné dans l’un ou l’autre de ces buts "prime" le séquestre LP "en cas de conflit" (cf. PAHUD, Le séquestre et la protection provisoire des créances pécuniaires, AISUF - Travaux de la Faculté de Droit de l'Université de Fribourg, note de bas de page n° 786 et les références). Il en découle que tant que le séquestre pénal n’a pas été levé, le créancier ne saurait obtenir la réalisation des biens qui font également l’objet du séquestre LP. Le séquestre peut être converti en saisie mais le créancier ne saurait requérir la réalisation. Lorsqu’une décision de l’autorité pénale entre en force et que les droits patrimoniaux sont confisqués, restitués au lésé ou utilisés pour payer les frais, peines pécuniaires, amendes ou indemnités, le séquestre LP ou la saisie perdent leur objet dans cette mesure. Cette "disparition" de tout ou partie des droits patrimoniaux doit être constatée d’office par chaque autorité chargée de l’exécution du séquestre, de la saisie ou de la faillite. Sauf nullité de la décision pénale, les autorités de poursuite et de faillite sont liées et ne peuvent pas refuser de la reconnaître (PAHUD, op. cit., p. 165). Le séquestre aux fins de garantie ou de couverture des frais et indemnités à verser, ou des peines pécuniaires et des amendes peut être ordonné sur tous les biens du prévenu, même ceux sans rapport avec l'infraction (MOREILLON / PAREIN-REYMOND, Petit commentaire CPP, 2013, ad art. 263 et 268 CPP).</w:t>
      </w:r>
    </w:p>
    <w:p>
      <w:r>
        <w:t>En revanche, le séquestre pénal ordonné en garantie de la créance compensatrice ne fait pas obstacle à la réalisation des droits patrimoniaux au terme d’une saisie</w:t>
      </w:r>
    </w:p>
    <w:p>
      <w:r>
        <w:t>- 7/9 -</w:t>
      </w:r>
    </w:p>
    <w:p>
      <w:r>
        <w:t>A/560/2022-CS ou d’une faillite. L’exécution forcée de la créance compensatrice s’opère selon la LP et l’Etat – ou le lésé auquel la créance compensatrice a été allouée – doit s’y conformer comme tout autre créancier (PAHUD, op. cit., p. 165).</w:t>
      </w:r>
    </w:p>
    <w:p>
      <w:r>
        <w:t>3.3 En l'occurrence, il résulte de la décision attaquée que le séquestre n'a porté que sur les actifs en mains du Pouvoir judiciaire, à savoir les sûretés en 150'000 fr. versées dans le cadre de la procédure pénale et les montres et bijoux saisis dans la même procédure. Le séquestre des avoirs et titres placés auprès de F______ n'a en revanche rien donné et celui relatif aux avoirs auprès de E______ a fait l'objet d'une décision de refus d'exécuter, au motif qu'il s'agissait d'actifs situés en dehors de l'arrondissement de l'Office.</w:t>
      </w:r>
    </w:p>
    <w:p>
      <w:r>
        <w:t>La Chambre de céans admet que le procès-verbal de séquestre ne mentionne pas la valeur estimée des bijoux et montres séquestrés et ne permet donc pas de déterminer si le séquestre serait excessif, comme le soutiennent les plaignants.</w:t>
      </w:r>
    </w:p>
    <w:p>
      <w:r>
        <w:t>Toutefois, le procédé de l'Office n'est dans le cas d'espèce pas critiquable, dès lors qu'au moment d'établir le procès-verbal de séquestre, cette question était prématurée. En effet, d'une part, l'Office ne pouvait pas partir de l'idée que les sûretés versées par les plaignants dans la procédure pénale, à hauteur de 150'000 fr., seraient finalement affectées au séquestre LP et suffiraient donc à couvrir l'assiette provisoire du séquestre. En fonction de l'issue de la procédure pénale, les sûretés versées pourraient être intégralement utilisées pour payer les éventuelles peines pécuniaires, les amendes, les frais et les indemnités mises à la charge des prévenus, conformément à l'art. 239 al. 2 CPP, et échapperaient ainsi au séquestre LP. De plus, l'Office a fixé l'assiette provisoire du séquestre à 320'000 fr., montant que les plaignants ne critiquent pas et qui est nettement supérieur à celui des sûretés, qui ne sont dès lors pas suffisantes en tout état de cause.</w:t>
      </w:r>
    </w:p>
    <w:p>
      <w:r>
        <w:t>D'autre part, l'on ne voit pas comment l'Office aurait pu déterminer sur quelle partie des objets en mains du Pouvoir judiciaire il devait faire porter le séquestre. Au moment de prendre la décision attaquée, l'Office ignorait en effet dans quel but le séquestre pénal avait été ordonné – en vue de confiscation, de restitution au lésé, de paiement des frais de procédure, des peines pécuniaires, des amendes et des indemnités ou en garantie d'une éventuelle créance compensatrice - et donc s'il était censé primer ou pas le séquestre LP. Il ignorait également quelle partie de ces objets serait, le cas échéant, affectée par les autorités pénales au paiement notamment des frais, peines pécuniaires, amendes ou indemnités et donc soustraite définitivement au séquestre LP. En effet, dans cette hypothèse, les autorités pénales décideront le moment venu quels objets réaliser, rendant ainsi mal aisé pour l'Office de faire porter le séquestre sur une partie seulement de ces actifs.</w:t>
      </w:r>
    </w:p>
    <w:p>
      <w:r>
        <w:t>Le fait que l'épouse du débiteur séquestré revendique la propriété de ces biens constitue un motif d'incertitude supplémentaire, justifiant que le séquestre soit</w:t>
      </w:r>
    </w:p>
    <w:p>
      <w:r>
        <w:t>- 8/9 -</w:t>
      </w:r>
    </w:p>
    <w:p>
      <w:r>
        <w:t>A/560/2022-CS maintenu en l'état sur la totalité des 202 objets, indépendamment de leur valeur. En effet, lorsque parmi les biens séquestrés, il y en a certains qui sont revendiqués par des tiers, il y a lieu, en dérogation à l'art. 97 al. 2 LP, d'étendre l'inventaire à d'autres actifs qui pourraient se substituer le cas échéant en partie aux biens qui seraient revendiqués avec succès, et ce quand bien même l'estimation totale des objets dépasserait ainsi le montant strictement nécessaire à couvrir l'assiette du séquestre (cf. dans ce sens JAQUES, Giurisprudenza dell’autorità di vigilanza ticinese (CEF), BlSchK 2021, 201 ss, p. 222 concernant l'inventaire de l'art. 283 LP). Dans le cas d'espèce, il n'est pas possible de savoir si la plaignante revendiquera avec succès tout ou partie des montres et bijoux séquestrés, de sorte que c'est à bon droit que l'Office a étendu le séquestre à tous les biens saisis pénalement. En fonction de l'évolution de la situation, en particulier de la procédure pénale, l'Office pourra le cas échéant compléter le procès-verbal de séquestre. 4. La procédure de plainte est gratuite (art. 20a al. 2 ch. 5 LP et art. 61 al. 2 let. a OELP) et il ne peut être alloué aucuns dépens dans cette procédure (art. 62 al. 2 OELP). * * * * *</w:t>
      </w:r>
    </w:p>
    <w:p>
      <w:r>
        <w:t>- 9/9 -</w:t>
      </w:r>
    </w:p>
    <w:p>
      <w:r>
        <w:t>A/560/2022-CS PAR CES MOTIFS, La Chambre de surveillance : A la forme : Déclare recevable la plainte formée le 14 février 2022 par A______ et B______ contre le procès-verbal de séquestre n° 2______. Au fond : La rejette. Siégeant : Madame Verena PEDRAZZINI RIZZI, présidente; Madame Ekaterine BLINOVA et Monsieur Denis KELLER,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5</w:t>
      </w:r>
    </w:p>
    <w:p>
      <w:r>
        <w:t>avril 2013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