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DCSO/266/2024 vom 6. Juni 2024</w:t>
      </w:r>
    </w:p>
    <w:p>
      <w:r>
        <w:t>GE Cour de justice, 2024-06-06, FR</w:t>
      </w:r>
    </w:p>
    <w:p>
      <w:r>
        <w:rPr>
          <w:b/>
        </w:rPr>
        <w:t xml:space="preserve">Quelle: </w:t>
      </w:r>
      <w:r>
        <w:t>https://mcp.opencaselaw.ch/entscheid/ge_gerichte_DCSO_266_2024</w:t>
      </w:r>
    </w:p>
    <w:p>
      <w:r>
        <w:t>FR: GE_GERICHTE DCSO/266/2024 du 6 juin 2024</w:t>
      </w:r>
    </w:p>
    <w:p>
      <w:r>
        <w:t>IT: GE_GERICHTE DCSO/266/2024 del 6 giugno 2024</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rPr>
          <w:b/>
        </w:rPr>
        <w:t>E. 2</w:t>
      </w:r>
    </w:p>
    <w:p>
      <w:r>
        <w:t>2.1.1 L'ordonnance de séquestre est rendue par le juge, qui doit notamment vérifier, au stade de la vraisemblance, que les conditions posées à l'art. 271 LP sont réalisées, que la créance existe, qu'on est en présence d'un cas de séquestre et qu'il existe des biens appartenant au débiteur (art. 271 et 272 LP).</w:t>
      </w:r>
    </w:p>
    <w:p>
      <w:r>
        <w:t>De son côté, l'office des poursuites exécute l'ordonnance de séquestre (art. 275 LP). Ses compétences sont limitées aux mesures proprement dites d'exécution du séquestre, ainsi qu'au contrôle de la régularité formelle de l'ordonnance de séquestre. A cet égard, l'office vérifiera que toutes les mentions prescrites par l'art. 274 al. 2 ch. 1 à 4 LP figurent dans l'ordonnance ou encore que la désignation des biens y soit suffisamment précise pour permettre une exécution sans risque de confusion ou d'équivoque. Il lui incombe également de s'assurer que les biens désignés par l'ordonnance de séquestre sont situés dans son ressort (ATF 112 III 115; 107 III 33 consid. 4; Reiser, in BSK SchKG, 2021, n. 24 ad art. 275 LP). Ce pouvoir d'examen entre par définition dans les attributions d'un organe d'exécution qui ne peut donner suite à un ordre lacunaire, imprécis ou entaché d'un défaut qui le rend inopérant, ni exécuter un séquestre nul (ATF 142 III 291 consid. 2.1 et les références). L'office des poursuites doit ainsi refuser d'exécuter une ordonnance de séquestre lorsqu'elle désigne des biens qui ne sont pas de son ressort (Stoffel/Chabloz in CR LP (2005), n. 8 ad art. 275 LP). Il est en revanche tenu d'obtempérer à une ordonnance de séquestre régulière en la forme; il n'a pas la compétence d'en examiner le bien-fondé, notamment de vérifier les conditions justifiant l'octroi de la mesure (Reiser, op. cit., n. 11 ad art. 275 LP et arrêts cités). 2.1.2 La réalisation forcée des immeubles est réglée par l'Ordonnance du Tribunal fédéral sur la réalisation forcée des immeubles (ci-après : ORFI; art. 1 al. 1 ORFI). Cette ordonnance ne s'applique toutefois pas à la réalisation des droits de propriété du débiteur sur les immeubles possédés en propriété commune, comme par exemple les immeubles compris dans une succession indivise; à cet égard,</w:t>
      </w:r>
    </w:p>
    <w:p>
      <w:r>
        <w:t>- 5/7 -</w:t>
      </w:r>
    </w:p>
    <w:p>
      <w:r>
        <w:t>A/932/2024-CS l'ordonnance concernant la saisie et la réalisation de parts de communautés est applicable (art. 1 al. 2 ORFI).</w:t>
      </w:r>
    </w:p>
    <w:p>
      <w:r>
        <w:t>La saisie, respectivement le séquestre (art. 275 LP; ATF 118 III 62 consid. 2.c, JdT 1992 II 78), des droits du débiteur dans une succession non partagée, dans une indivision, dans une société en nom collectif, dans une société en commandite ou dans une communauté analogue, ne peut porter que sur le produit lui revenant dans la liquidation de la communauté, lors même que celle-ci ne s'étend qu'à une chose unique (art. 1 de l'Ordonnance du Tribunal fédéral concernant la saisie et la réalisation de parts de communautés (RS 281.41, ci-après : OPC).</w:t>
      </w:r>
    </w:p>
    <w:p>
      <w:r>
        <w:t>L'Office des poursuites compétent pour saisir une part de communauté ou les revenus en provenant, est ainsi l'office du domicile du débiteur, lors même que les biens de la communauté (meubles ou immeubles) sont situés en tout ou en partie dans un autre arrondissement (art. 2 al. 1 OPC). L'office du dernier domicile du défunt est compétent pour saisir une part de communauté dans une succession non partagée ou les revenus en provenant si le débiteur a son domicile à l'étranger. Si le défunt n'a pas eu son dernier domicile en Suisse et que les autorités judiciaires ou administratives suisses sont compétentes pour régler la succession d'un ressortissant suisse en vertu de l'art. 87 LDIP, l'office de chaque arrondissement dans lequel sont situés des biens est compétent (art. 2 al. 2 OPC).</w:t>
      </w:r>
    </w:p>
    <w:p>
      <w:r>
        <w:t>2.1.3 Lorsque le débiteur titulaire d'une part de communauté est domicilié à l'étranger, aucun séquestre n'est possible en Suisse, même si des biens appartenant à la communauté s'y trouvent (ATF 124 III 505 consid. 3b; 118 III 78 consid. 2c = JdT 1992 II 78; arrêts du Tribunal fédéral 5A_435/2014 du 21 octobre 2014 consid. 3.2 et 3.3; 5A_628/2012 du 29 janvier 2013; décision de la Chambre de surveillance DCSO/155/2017 du 16.03.2017 consid. 1.1.2; Ochsner, La poursuite contre le débiteur à l'étranger, in JdT 2014 II 3, p. 31).</w:t>
      </w:r>
    </w:p>
    <w:p>
      <w:r>
        <w:rPr>
          <w:b/>
        </w:rPr>
        <w:t>E. 2.2</w:t>
      </w:r>
    </w:p>
    <w:p>
      <w:r>
        <w:t>En l'espèce, le Tribunal a, en date du 8 février 2024, ordonné onze séquestres, chacun prononcé à l'encontre d'un des héritiers figurant comme membre de la communauté héréditaire propriétaire de l'Immeuble. L'Office a, le même jour, exécuté ces onze séquestres en requérant l'annotation d'une interdiction d'aliéner au Registre foncier. Après avoir obtenu du plaignant des renseignements complémentaires concernant l'identité de la défunte, son dernier domicile et sa nationalité, l'Office a décliné sa compétence en application de l'art. 2 OPC, au motif que le débiteur n'était pas domicilié en Suisse, que la défunte n'était pas de nationalité suisse et qu'elle n'avait pas son dernier domicile en Suisse. Ce faisant, il a correctement appliqué les dispositions de l'OPC régissant sa compétence pour saisir, respectivement exécuter le séquestre d'une part de communauté non liquidée.</w:t>
      </w:r>
    </w:p>
    <w:p>
      <w:r>
        <w:t>- 6/7 -</w:t>
      </w:r>
    </w:p>
    <w:p>
      <w:r>
        <w:t>A/932/2024-CS</w:t>
      </w:r>
    </w:p>
    <w:p>
      <w:r>
        <w:t>Le plaignant reproche à l'Office d'avoir décliné sa compétence en se fondant sur cette disposition, qu''il estime inapplicable dans le cas d'espèce au motif que les onze séquestres ordonnés visent en réalité l'intégralité de l'immeuble visé. Il est vrai que les onze parts de communauté ayant fait l'objet des onze séquestres prononcés par le Tribunal correspondent, toutes prises ensemble, à l'intégralité de l'Immeuble appartenant à la communauté héréditaire; il n'en demeure pas moins que chacun des onze séquestres a été prononcé à l'encontre d'un seul héritier et ne porte que sur les droits de celui-ci dans la liquidation de la communauté. L'on ne saurait, dans ces circonstances, suivre le plaignant lorsqu'il reproche à l'Office de n'avoir pas appréhendé les onze séquestres comme une seule mesure visant l'intégralité de l'immeuble visé : ce faisant, le plaignant réclame en réalité à l'Office de transformer les onze séquestres, portant sur les différentes parts de communauté et prononcés contre chacun des héritiers, en une seule mesure de blocage de l'Immeuble dirigée contre la communauté héréditaire. Un telle mesure n'a toutefois pas ordonnée par le Tribunal, de sorte que le plaignant ne saurait en exiger l'exécution.</w:t>
      </w:r>
    </w:p>
    <w:p>
      <w:r>
        <w:t>Le plaignant ne saurait par ailleurs être suivi lorsqu'il soutient que l'Office devrait faire abstraction de l'art. 2 OPC et admettre sa compétence pour exécuter le séquestre, faute de quoi il viderait de tout son sens l'art. 271 al 1. ch. 4 LP permettant le séquestre de biens en Suisse appartenant à un débiteur domicilié à l'étranger, puisque le Tribunal fédéral a, dans ses arrêts cités sous 2.1.3 ci-dessus, confirmé que le séquestre d'une part de communauté d'un débiteur domicilié à l'étranger n'était pas possible en Suisse, même si des biens appartenant à la communauté s'y trouvent. Les griefs soulevés par le plaignant sont en conséquence infondés. Il se justifie, partant, de rejeter sa plainte, ainsi que ses conclusions tendant à l'exécution du séquestre.</w:t>
      </w:r>
    </w:p>
    <w:p>
      <w:r>
        <w:rPr>
          <w:b/>
        </w:rPr>
        <w:t>E. 3</w:t>
      </w:r>
    </w:p>
    <w:p>
      <w:r>
        <w:t>La procédure devant l'autorité de surveillance est gratuite (art. 20a al. 2 ch. 5 LP; art. 61 al. 2 let. a OELP) et ne donne pas lieu à l'allocation de dépens (art. 62 al. 2 OELP). * * * * *</w:t>
      </w:r>
    </w:p>
    <w:p>
      <w:r>
        <w:t>- 7/7 -</w:t>
      </w:r>
    </w:p>
    <w:p>
      <w:r>
        <w:t>A/932/2024-CS PAR CES MOTIFS, La Chambre de surveillance : A la forme : Déclare recevable la plainte formée le 18 mars 2024 par A______ contre la décision rendue le 8 mars 2024 par l'Office des poursuites dans le cadre de l'exécution du séquestre n° 12_____. Au fond : La rejette. Déboute A______ de toutes autres conclusions. Siégeant : Madame Ursula ZEHETBAUER GHAVAMI, présidente; Madame Natalie OPPATJA et Monsieur Denis KELLER, juges assesseurs ; Madame Véronique AMAUDRY- PISCETTA, greffière.</w:t>
      </w:r>
    </w:p>
    <w:p>
      <w:r>
        <w:t>La présidente :</w:t>
      </w:r>
    </w:p>
    <w:p>
      <w:r>
        <w:t>La greffière :</w:t>
      </w:r>
    </w:p>
    <w:p>
      <w:r>
        <w:t>Ursula ZEHETBAUER GHAVAMI</w:t>
      </w:r>
    </w:p>
    <w:p>
      <w:r>
        <w:t>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