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DCSO/265/2021 vom 24. Juni 2021</w:t>
      </w:r>
    </w:p>
    <w:p>
      <w:r>
        <w:t>GE Cour de justice, 2021-06-24, FR</w:t>
      </w:r>
    </w:p>
    <w:p>
      <w:r>
        <w:rPr>
          <w:b/>
        </w:rPr>
        <w:t xml:space="preserve">Quelle: </w:t>
      </w:r>
      <w:r>
        <w:t>https://mcp.opencaselaw.ch/entscheid/ge_gerichte_DCSO_265_2021</w:t>
      </w:r>
    </w:p>
    <w:p>
      <w:r>
        <w:t>FR: GE_GERICHTE DCSO/265/2021 du 24 juin 2021</w:t>
      </w:r>
    </w:p>
    <w:p>
      <w:r>
        <w:t>IT: GE_GERICHTE DCSO/265/2021 del 24 giugno 2021</w:t>
      </w:r>
    </w:p>
    <w:p>
      <w:pPr>
        <w:pStyle w:val="Heading2"/>
      </w:pPr>
      <w:r>
        <w:t>Erwägungen</w:t>
      </w:r>
    </w:p>
    <w:p>
      <w:r>
        <w:rPr>
          <w:b/>
        </w:rPr>
        <w:t>E. 1</w:t>
      </w:r>
    </w:p>
    <w:p>
      <w:r>
        <w:t>1.1.1 La Chambre de surveillance est compétente pour statuer sur les plaintes formées en application de la LP (art. 13 LP; art. 125 et 126 LOJ; art. 6 al. 1 et 3 et 7 al. 1 LaLP) contre des mesures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dans les dix jours de celui où le plaignant a eu connaissance de la mesure (art. 17 al. 3 LP). Elle peut également être déposée en tout temps en cas de nullité de l'acte contesté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1.1.2 L'exécution d'un acte de poursuite qui ne se fonde pas sur un commandement de payer exécutoire heurte les principes fondamentaux de la poursuite pour dettes (ATF 109 III 53 consid. 2b). En conséquence, lorsque la poursuite est continuée malgré l'absence de notification d'un commandement de payer au conjoint du débiteur, les actes accomplis par l'Office sont nuls (arrêt du Tribunal fédéral 5A_825/2020 du 25 mars 2021 consid. 5.2.2).</w:t>
      </w:r>
    </w:p>
    <w:p>
      <w:r>
        <w:t>- 9/11 -</w:t>
      </w:r>
    </w:p>
    <w:p>
      <w:r>
        <w:t>A/4092/2020-CS</w:t>
      </w:r>
    </w:p>
    <w:p>
      <w:r>
        <w:rPr>
          <w:b/>
        </w:rPr>
        <w:t>E. 1.2</w:t>
      </w:r>
    </w:p>
    <w:p>
      <w:r>
        <w:t>En l'occurrence, la plainte respecte les exigences de forme prévues par la loi et émane d'une personne qui, si son argumentation devait être retenue, serait lésée dans ses intérêts juridiquement protégés. Elle est donc, à cet égard, recevable.</w:t>
      </w:r>
    </w:p>
    <w:p>
      <w:r>
        <w:t>La plaignante allègue avoir agi dans les dix jours dès la connaissance, le 24 novembre 2020, de la décision de l'Office du 30 juin 2020 annulant l'exemplaire du commandement de payer qui lui avait été précédemment notifié dans la poursuite n° 5______.</w:t>
      </w:r>
    </w:p>
    <w:p>
      <w:r>
        <w:t>Or, la question de savoir si la plaignante a eu connaissance plus tôt de la décision du 30 juin 2020, comme le soutient la créancière poursuivante, souffre de rester indécise, dès lors que le grief invoqué, tiré de la violation de l'art. 153 al. 2 let. b LP, rendrait la décision nulle, s'il était admis.</w:t>
      </w:r>
    </w:p>
    <w:p>
      <w:r>
        <w:t>La plainte est ainsi recevable.</w:t>
      </w:r>
    </w:p>
    <w:p>
      <w:r>
        <w:rPr>
          <w:b/>
        </w:rPr>
        <w:t>E. 2</w:t>
      </w:r>
    </w:p>
    <w:p>
      <w:r>
        <w:t>2.1.1 Dans la poursuite en réalisation de gage, un exemplaire du commandement de payer est également notifié à l'époux du débiteur lorsque l'immeuble grevé est le logement de la famille au sens de l'art. 169 CC (art. 153 al. 2 let. b LP et 88 ORFI). Cette disposition, rattachée aux effets généraux du mariage, est une conséquence de la protection instaurée par le législateur dans le droit de la famille à l'égard du conjoint, contre les actes de disposition de son époux sur le logement familial (arrêt du Tribunal fédéral 5A_825/2020 du 25 mars 2021, consid. 5.1). Avec la notification du commandement de payer, l'époux acquiert la qualité de copoursuivi et peut ainsi former opposition au commandement de payer au même titre que le débiteur (ATF 142 III 720 consid. 4.2.1). Cet acte n'est qu'un double de celui qui a été signifié au débiteur (personnel) et il porte le même numéro, de sorte qu'il n'y a qu'une seule poursuite (arrêt du Tribunal fédéral 5A_825/2020 du 25 mars 2021, consid. 5.1).</w:t>
      </w:r>
    </w:p>
    <w:p>
      <w:r>
        <w:t>2.1.2 Si l’époux titulaire est actionnaire unique ou majoritaire de la société propriétaire de l’immeuble qui contient le logement de famille, l’art. 169 CC trouve application; l’aliénation de l’immeuble par la société n’est valable qu’avec le consentement du conjoint (DECHENAUX/STEINAUER/BADDLEY, Les effets du mariage, 3ème édition, p. 178, n° 212a). Il s’agit d’un cas d’application de la théorie de la transparence (Durchgriff; cf. aussi BSK-ZGB, n° 14 ad art. 169 CC).</w:t>
      </w:r>
    </w:p>
    <w:p>
      <w:r>
        <w:t>2.2.1 En l'espèce, la plaignante soutient que l'Office n'avait pas de raison d'annuler l'exemplaire pour le conjoint du commandement de payer destiné à C______ SA, dans la mesure où il s'agissait d'une société contrôlée par son mari, à laquelle celui-ci avait délibérément transféré l'objet du gage pour le soustraire à ses créanciers.</w:t>
      </w:r>
    </w:p>
    <w:p>
      <w:r>
        <w:t>Les éléments du dossier confirment cette approche. En effet, l'époux de la plaignante a acquis la villa d'une valeur de plusieurs millions de francs suisses en son nom pour qu'elle serve de logement à la famille. Il l'a ensuite cédée, après la séparation des époux, à une personne morale, fondée à cet effet, dont il a été l'administrateur jusqu'en 2019. Si les actions de C______ SA sont détenues à 90%</w:t>
      </w:r>
    </w:p>
    <w:p>
      <w:r>
        <w:t>- 10/11 -</w:t>
      </w:r>
    </w:p>
    <w:p>
      <w:r>
        <w:t>A/4092/2020-CS par une autre société, H______ SA, l'époux de la plaignante a été considéré par des juridictions civiles comme étant vraisemblablement l'actionnaire unique de cette dernière société, et ce quand bien même il a d'abord cédé la nue-propriété sur les actions à ses deux filles, puis renoncé à l'usufruit sur les actions lors de l'accession à la majorité des jumelles.</w:t>
      </w:r>
    </w:p>
    <w:p>
      <w:r>
        <w:t>Le fait que l'époux de la plaignante ait contracté, aux côtés de la société formellement propriétaire du gage, le prêt hypothécaire accordé par la poursuivante renforce cette appréciation.</w:t>
      </w:r>
    </w:p>
    <w:p>
      <w:r>
        <w:t>De plus, il ressort des décisions judiciaires qui figurent au dossier, certes parfois rendues en procédure sommaire, qu'il était vraisemblable que l'époux de la plaignante avait mis en place ces structures et utilisé notamment ses filles pour contrôler l'objet du gage, de sorte qu'il ne pouvait se prévaloir de la dualité économique entre les personnes morales qu'il contrôlait et sa propre personne.</w:t>
      </w:r>
    </w:p>
    <w:p>
      <w:r>
        <w:t>Il semble d'ailleurs que la poursuivante est aussi partie de l'idée qu'il y avait identité entre la société propriétaire du gage et l'époux de la plaignante, dans la mesure où elle a elle-même invité l'Office, par courrier du 4 octobre 2018, à notifier à la plaignante un exemplaire pour le conjoint du commandement de payer dans la poursuite en réalisation de gage dirigée contre la société. Dans le procès en mainlevée de l'opposition, la poursuivante n'a pas non plus contesté la légitimité de l'épouse à s'opposer à la poursuite contre la société propriétaire du gage.</w:t>
      </w:r>
    </w:p>
    <w:p>
      <w:r>
        <w:t>2.2.2 Il résulte de ces considérations que dans la poursuite en réalisation de gage n° 5______, la plaignante revêt la qualité de conjoint du débiteur poursuivi, propriétaire du gage, dans la mesure où c'est son époux qui apparaît comme étant le propriétaire de la villa. C'est ainsi à bon droit qu'un commandement de payer a été notifié à la plaignante le 25 janvier 2019 dans cette poursuite dirigée contre la société. Il convient donc de constater la nullité de la décision de l'Office cantonal des poursuites du 30 juin 2020. La poursuite n° 5______ se trouve au stade où elle en était avant le prononcé de cette décision.</w:t>
      </w:r>
    </w:p>
    <w:p>
      <w:r>
        <w:t>Cela scelle le sort de la plainte et dispense la Chambre de céans d'examiner si, en tout état de cause, la poursuite n° 5______ ne pouvait pas être continuée aussi longtemps que tous les commandements de payer notifiés dans la poursuite "connexe" n° 4______ n'étaient pas passés en force.</w:t>
      </w:r>
    </w:p>
    <w:p>
      <w:r>
        <w:rPr>
          <w:b/>
        </w:rPr>
        <w:t>E. 3</w:t>
      </w:r>
    </w:p>
    <w:p>
      <w:r>
        <w:t>La procédure de plainte est gratuite (art. 20a al. 2 ch. 5 LP; art. 61 al. 2 let. a OELP) et ne donne pas lieu à l'allocation de dépens (art. 62 al. 2 OELP).</w:t>
      </w:r>
    </w:p>
    <w:p>
      <w:r>
        <w:t>* * * * *</w:t>
      </w:r>
    </w:p>
    <w:p>
      <w:r>
        <w:t>- 11/11 -</w:t>
      </w:r>
    </w:p>
    <w:p>
      <w:r>
        <w:t>A/4092/2020-CS</w:t>
      </w:r>
    </w:p>
    <w:p>
      <w:r>
        <w:t>PAR CES MOTIFS, La Chambre de surveillance :</w:t>
      </w:r>
    </w:p>
    <w:p>
      <w:r>
        <w:t>A la forme : Déclare recevable la plainte formée le 4 décembre 2020 par A______ dans la poursuite en réalisation d'un gage immobilier n° 5______. Au fond : L'admet. Constate la nullité de la décision de l'Office cantonal des poursuites du 30 juin 2020 dans la poursuite n° 5______. Dit que la poursuite n° 5______ se trouve au stade où elle était avant le prononcé de cette décision. Siégeant : Madame Verena PEDRAZZINI RIZZI, présidente; Madame Natalie OPPATJA et Monsieur Mathieu HOWALD, juges assesseurs; Madame Véronique AMAUDRY- PISCETTA,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