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DCSO/264/2016 vom 21. September 2016</w:t>
      </w:r>
    </w:p>
    <w:p>
      <w:r>
        <w:t>GE Cour de justice, 2016-09-21, FR</w:t>
      </w:r>
    </w:p>
    <w:p>
      <w:r>
        <w:rPr>
          <w:b/>
        </w:rPr>
        <w:t xml:space="preserve">Quelle: </w:t>
      </w:r>
      <w:r>
        <w:t>https://mcp.opencaselaw.ch/entscheid/ge_gerichte_DCSO_264_2016</w:t>
      </w:r>
    </w:p>
    <w:p>
      <w:r>
        <w:t>FR: GE_GERICHTE DCSO/264/2016 du 21 septembre 2016</w:t>
      </w:r>
    </w:p>
    <w:p>
      <w:r>
        <w:t>IT: GE_GERICHTE DCSO/264/2016 del 21 settembre 2016</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la débitrice poursuivie, par ailleurs propriétaire de l'immeuble constitué en gage, et son époux ont requis de la Chambre de céans, dans les délai et forme prescrits par la loi, qu'une nouvelle estimation soit effectuée par un second expert. Ils ont en outre payé en temps utile l'avance de frais fixée par ordonnance du 28 avril 2016.</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w:t>
      </w:r>
    </w:p>
    <w:p>
      <w:r>
        <w:t>- 5/8 -</w:t>
      </w:r>
    </w:p>
    <w:p>
      <w:r>
        <w:t>A/1158/2016-CS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w:t>
      </w:r>
    </w:p>
    <w:p>
      <w:r>
        <w:t>La différence – importante – entre les deux estimations s'explique en premier lieu par le prix au m² retenu par les experts, soit 14'400 fr. (respectivement 7'200 fr. pour le balcon de 2,44 m²) pour le premier et 18'070 fr. (valeur pondérée) pour le second. La détermination d'une telle valeur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w:t>
      </w:r>
    </w:p>
    <w:p>
      <w:r>
        <w:t>Dans le cas d'espèce, aucun des deux experts n'a fait état d'une transaction récente ayant porté sur un objet similaire situé dans le même secteur urbain. Il résulte de la comparaison des deux rapports que le second expert s'est fondé, pour retenir une valeur au m² substantiellement plus importante que le premier, sur la situation exceptionnelle de l'objet (situé au 4ème étage d'un immeuble de standing situé au cœur de l'agglomération, rive gauche, pour ainsi dire sur la rade) et la vue sur le Jardin anglais dont il jouit. L'attrait que de tels éléments sont susceptibles</w:t>
      </w:r>
    </w:p>
    <w:p>
      <w:r>
        <w:t>- 6/8 -</w:t>
      </w:r>
    </w:p>
    <w:p>
      <w:r>
        <w:t>A/1158/2016-CS d'exercer sur des acquéreurs potentiels est confirmé par l'évaluation privée produite par la poursuivie et son époux (cf. let. B.a ci-dessus) qui, bien qu'en soi inutilisable du fait qu'elle tient compte d'éléments ne relevant pas de l'immeuble faisant l'objet de la poursuite, souligne la rareté du bien, son exposition et la vue qu'il offre à ses occupants. La Chambre ce céans se ralliera ainsi à l'estimation du prix au m² du second expert, tout en étant consciente qu'elle relève essentiellement de la marge d'appréciation de ce dernier.</w:t>
      </w:r>
    </w:p>
    <w:p>
      <w:r>
        <w:t>La différence entre les résultats des deux expertises s'explique en second lieu par le fait que le premier expert a réduit de 10% la valeur vénale qu'il avait estimée pour aboutir à une valeur de réalisation. Or, comme relevé ci-dessus (consid. 2.1), le but de l'estimation ne consiste pas tant à déterminer le résultat prévisible de la réalisation qu'à donner aux intéressés un point de repère quant au caractère objectivement justifié d'une offre. Dans ce contexte, c'est bien la valeur vénale estimée de l'objet qui est pertinente, et non sa valeur prévisible de réalisation.</w:t>
      </w:r>
    </w:p>
    <w:p>
      <w:r>
        <w:t>La valeur vénale présumée de l'immeuble constitué en gage sera donc arrêtée à 3'300'000 fr.</w:t>
      </w:r>
    </w:p>
    <w:p>
      <w:r>
        <w:rPr>
          <w:b/>
        </w:rPr>
        <w:t>E. 3.1</w:t>
      </w:r>
    </w:p>
    <w:p>
      <w:r>
        <w:t>Le second expert a arrêté ses honoraires à 1'296 fr. TTC, montant qui paraît conforme aux tarifs usuellement pratiqués dans la branche. Sa note d'honoraires du 22 juin 2016 peut donc être approuvée.</w:t>
      </w:r>
    </w:p>
    <w:p>
      <w:r>
        <w:t>La nouvelle expertise ayant été requise par la débitrice poursuivie et son époux, son coût restera à la charge de ces derniers (art. 9 al. 1 1ère phr. ORFI), étant précisé qu'ils ont d'ores et déjà procédé à une avance de 1'600 fr., dont le solde de 304 fr. leur sera dès lors restitué. * * * * *</w:t>
      </w:r>
    </w:p>
    <w:p>
      <w:r>
        <w:t>- 7/8 -</w:t>
      </w:r>
    </w:p>
    <w:p>
      <w:r>
        <w:t>A/1158/2016-CS PAR CES MOTIFS, La Chambre de surveillance : A la forme : Déclare recevable la demande de nouvelle expertise de la part de copropriété par étages n° 1______ de la parcelle 2______ de la commune de Genève section Cité formée le 15 avril 2016 par A______ et B______ dans le cadre de la poursuite en réalisation de gage immobilier n° 15 xxxx79 E. Au fond : Fixe à 3'300'000 fr. la valeur d'estimation de la part de copropriété par étages n° 1______ de la parcelle 2______ de la commune de Genève section Cité. Fixe à 1'296 fr. les frais de la nouvelle expertise effectuée par F______ et invite les Services financiers du Pouvoir judiciaire à lui verser ce montant. Met ces frais à la charge de A______ et B______, qui les ont avancés à hauteur de 1'600 fr. Invite en conséquence les Services financiers du Pouvoir judiciaire à rembourser 304 fr. à A______ et B______. Siégeant : Madame Valérie LAEMMEL-JUILLARD, présidente; Madame Florence KRAUSKOPF et Monsieur Patrick CHENAUX, juges assesseurs; Madame Véronique PISCETTA, greffière.</w:t>
      </w:r>
    </w:p>
    <w:p>
      <w:r>
        <w:t>La présidente : Valérie LAEMMEL-JUILLARD</w:t>
      </w:r>
    </w:p>
    <w:p>
      <w:r>
        <w:t>La greffière : Véronique PISCETTA</w:t>
      </w:r>
    </w:p>
    <w:p>
      <w:r>
        <w:t>- 8/8 -</w:t>
      </w:r>
    </w:p>
    <w:p>
      <w:r>
        <w:t>A/1158/2016-CS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