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DCSO/25/2022 vom 13. Januar 2022</w:t>
      </w:r>
    </w:p>
    <w:p>
      <w:r>
        <w:t>GE Cour de justice, 2022-01-13, FR</w:t>
      </w:r>
    </w:p>
    <w:p>
      <w:r>
        <w:rPr>
          <w:b/>
        </w:rPr>
        <w:t xml:space="preserve">Quelle: </w:t>
      </w:r>
      <w:r>
        <w:t>https://mcp.opencaselaw.ch/entscheid/ge_gerichte_DCSO_25_2022</w:t>
      </w:r>
    </w:p>
    <w:p>
      <w:r>
        <w:t>FR: GE_GERICHTE DCSO/25/2022 du 13 janvier 2022</w:t>
      </w:r>
    </w:p>
    <w:p>
      <w:r>
        <w:t>IT: GE_GERICHTE DCSO/25/2022 del 13 gennaio 2022</w:t>
      </w:r>
    </w:p>
    <w:p>
      <w:pPr>
        <w:pStyle w:val="Heading2"/>
      </w:pPr>
      <w:r>
        <w:t>Erwägungen</w:t>
      </w:r>
    </w:p>
    <w:p>
      <w:r>
        <w:rPr>
          <w:b/>
        </w:rPr>
        <w:t>E. 1.1</w:t>
      </w:r>
    </w:p>
    <w:p>
      <w:r>
        <w:t>La Chambre de surveillance est compétente pour statuer sur les plaintes formées en application de l'article 17 al. 1 LP (art. 13 LP; art. 125 et 126 al. 2 let. c LOJ; art. 6 al. 1 et 3 et 7 al. 1 LaLP) contre les mesures de l'Office ne pouvant être contestées par la voie judiciaire. L'art. 197 LP postule que la masse comprend tous les biens saisissables du failli, qu'il définit plus précisément au moyen de trois critères: celui du temps (les biens existant à l'ouverture de la faillite), de la nature de la dévolution (les biens qui échoient au failli jusqu'à la clôture de la faillite) et du lieu (quel que soit le lieu où ils se trouvent). Il incombe à l'administration de la faillite de constituer la masse active et de porter tous les biens qui la composent à l'inventaire (art. 221 ss LP et 25 ss OAOF). Les droits du failli dont l'existence ou l'appartenance à la masse est litigieuse doivent également être inventoriés, en mentionnant les objets indiqués comme étant la propriété de tiers ou réclamés par des tiers (art. 225 LP), de façon à ce que la masse elle-même ou un créancier cessionnaire des droits de la masse puisse les faire valoir en justice. Les autorités de poursuite ne peuvent refuser d'inventorier un droit que si son insaisissabilité ou son incessibilité est manifeste. Les contestations au sujet de l'appartenance d'un bien à la masse ou de sa saisissabilité sont tranchées par les offices ou les autorités de surveillance par la</w:t>
      </w:r>
    </w:p>
    <w:p>
      <w:r>
        <w:t>- 6/8 -</w:t>
      </w:r>
    </w:p>
    <w:p>
      <w:r>
        <w:t>A/2415/2021-CS voie de la plainte de l'art. 17 LP. En revanche, les conflits entre la masse et un tiers qui sont relatifs à la propriété d'un bien relèvent du droit matériel et sont portés devant le juge. Les éventuelles contestations à ce sujet seront tranchées dans la procédure de revendication des art. 242 LP et 45 à 54 OAOF, dont le but est de décider si un bien déterminé doit être inclus dans la procédure d'exécution forcée. Un tiers peut revendiquer des biens de la masse en se fondant soit sur son droit de propriété (art. 641 al. 2 CC), soit sur des droits de distraction (appelés aussi droits de ségrégation) spécifiques accordés par la LP (art. 201 à 203), par le droit matériel (art. 401 CO, 1053 CO, 715 et 716 CC) ou par des lois spéciales (Loi fédérale sur les banques, la Loi sur les fonds de placement, la Loi sur l'approvisionnement du pays et celles sur les cautionnements et garanties d'obligations des sociétés d'assurances). Dans le cadre de l'exécution forcée, les droits de distraction doivent être mis en œuvre par la procédure de revendication de l'art. 242 LP contre la masse si le droit patrimonial revendiqué est en possession de celle-ci (ATF 114 III 21 consid. 5, = JdT 1990 II 43; 114 III 23 consid. 2 = JdT 1990 II 83; 109 III 80 consid. 2a = JdT 1985 II 130; 104 III 23 consid. 2; 81 III 122 = JdT 1956 II 25; ROMY, Commentaire Romand, Poursuite pour dette et faillite, 2005, n° 4, 5, 17, 18, 21, 22, 24 ad art. 197 LP; GILLIERON, Commentaire III, n° 15 à 17, 22 ad art. 197 LP et remarques introductives aux art. 197-207 n° 11). Il n'appartient pas aux autorités de surveillance de la poursuite et de la faillite de trancher les litiges qui portent sur la qualification d'une dette comme obligation de la masse ou obligation du failli. La question relève de l'autorité compétente pour statuer sur le fond de la prétention en cause, soit du juge civil ou des autorités et juridictions administratives, suivant la nature du contentieux. Si la dette en question n'est pas reconnue comme une dette de la masse, il appartient au créancier qui soutient que c'est bien le cas d'ouvrir action contre la masse. Cette action contre la masse n'est soumise à aucun délai, mais l'administration de la faillite peut menacer le créancier de procéder à la distribution sans tenir compte de sa prétention d'être payé par prélèvement s'il n'ouvre pas action dans un délai convenable (ATF 125 III 293 consid. 2; 113 III 148 consid. 1; 106 III 118 consid. 1).</w:t>
      </w:r>
    </w:p>
    <w:p>
      <w:r>
        <w:rPr>
          <w:b/>
        </w:rPr>
        <w:t>E. 1.2</w:t>
      </w:r>
    </w:p>
    <w:p>
      <w:r>
        <w:t>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w:t>
      </w:r>
    </w:p>
    <w:p>
      <w:r>
        <w:rPr>
          <w:b/>
        </w:rPr>
        <w:t>E. 1.3</w:t>
      </w:r>
    </w:p>
    <w:p>
      <w:r>
        <w:t>En l'occurrence, la plainte respecte les exigences de forme prévues par la loi. Elle est donc, à cet égard, recevable. En revanche, la nature du litige soumis par la plaignante à l'autorité de surveillance échappe à sa compétence matérielle car elle porte sur une</w:t>
      </w:r>
    </w:p>
    <w:p>
      <w:r>
        <w:t>- 7/8 -</w:t>
      </w:r>
    </w:p>
    <w:p>
      <w:r>
        <w:t>A/2415/2021-CS contestation de droit de fond s'agissant de la titularité des biens objet du litige, à l'instar d'un droit de distraction tel qu'évoqué ci-dessus. Certes, l'Office a rendu une "décision" selon laquelle il refusait de restituer le montant revendiqué par la plaignante, laquelle semble ouvrir formellement la voie de la plainte. Cette "décision" est toutefois en l'état encore incomplète car elle devra être suivie du processus prévu par l'art. 242 LP. L'Office doit formellement inventorier l'actif litigieux, avec mention du litige à l'inventaire, et fixer un délai à la plaignante pour agir en revendication. La contestation ne relevant pas de la voie de la plainte, cette dernière sera déclarée irrecevable.</w:t>
      </w:r>
    </w:p>
    <w:p>
      <w:r>
        <w:rPr>
          <w:b/>
        </w:rPr>
        <w:t>E. 2</w:t>
      </w:r>
    </w:p>
    <w:p>
      <w:r>
        <w:t>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