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DCSO/25/2020 vom 30. Januar 2020</w:t>
      </w:r>
    </w:p>
    <w:p>
      <w:r>
        <w:t>GE Cour de justice, 2020-01-30, FR</w:t>
      </w:r>
    </w:p>
    <w:p>
      <w:r>
        <w:rPr>
          <w:b/>
        </w:rPr>
        <w:t xml:space="preserve">Quelle: </w:t>
      </w:r>
      <w:r>
        <w:t>https://mcp.opencaselaw.ch/entscheid/ge_gerichte_DCSO_25_2020</w:t>
      </w:r>
    </w:p>
    <w:p>
      <w:r>
        <w:t>FR: GE_GERICHTE DCSO/25/2020 du 30 janvier 2020</w:t>
      </w:r>
    </w:p>
    <w:p>
      <w:r>
        <w:t>IT: GE_GERICHTE DCSO/25/2020 del 30 gennaio 2020</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L'administration de la faillite procède à la réalisation des biens appartenant au failli. Outre la vente aux enchères et la vente de gré à gré (art. 256 al. 1 LP), l'Office peut également proposer aux créanciers de renoncer à faire valoir une prétention de la masse et leur en proposer la cession, aux conditions de l'art. 260 al. 2 LP (VOUILLOZ, in CR LP, 2005, n. 31 ad art. 231 LP).</w:t>
      </w:r>
    </w:p>
    <w:p>
      <w:r>
        <w:t>Selon la jurisprudence, la cession selon l'art. 260 LP n'est pas une cession au sens des art. 164 ss CO. Il s'agit d'une institution du droit de la faillite et du droit de procédure sui generis qui peut être considérée comme une sorte de "Prozess- 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140 IV 155 consid. 3.4.4 et les arrêts cités; 139 III 391 consid. 5.1). Ainsi, les créanciers de la masse ne poursuivent pas le recouvrement de créances dont ils sont titulaires, mais de créances du failli qui tombent dans la masse. Ils disposent toutefois d'un droit préférentiel au moment de la répartition du produit du procès (art. 260 al. 2 LP).</w:t>
      </w:r>
    </w:p>
    <w:p>
      <w:r>
        <w:t>L'Office accorde la cession à tous les créanciers de la masse qui la demandent. Le droit d'obtenir une cession des droits de la masse au sens de l'art. 260 LP est lié</w:t>
      </w:r>
    </w:p>
    <w:p>
      <w:r>
        <w:t>- 4/6 -</w:t>
      </w:r>
    </w:p>
    <w:p>
      <w:r>
        <w:t>A/3439/2019-CS ex lege à la qualité d'intervenant du créancier colloqué (ATF 55 III 65 consid. 2; GILLIERON, Commentaire LP, n. 15 ad art. 260 LP).</w:t>
      </w:r>
    </w:p>
    <w:p>
      <w:r>
        <w:t>2.1.2 Lorsque plusieurs créanciers cessionnaires font valoir en justice la prétention cédée, ils forment une consorité nécessaire (improprement dite), en ce sens que cette prétention ne peut faire l'objet que d'un seul jugement. On ne peut toutefois pas exiger d'eux une action concertée : l'art. 260 LP n'impose pas que tous les ayants droits ouvrent le procès ensemble, le conduisent et agissent en se mettant d'accord. Les consorts ne forment donc pas un tout indivisible et chaque créancier conserve le droit, à titre indépendant, d'alléguer des faits (même contradictoires à ceux allégués par les autres créanciers), de défendre sa position juridique, de se faire représenter par son propre avocat et de renoncer à continuer le procès sans préjudice pour les autres (ATF 136 III 534 consid. 2.1; 121 III 291 consid. 3a; 121 III 488 consid. 2c-2e, JdT 1997 II 147; arrêt du Tribunal fédéral 4C_263/2004 consid. 1.1; HOHL, Procédure civile I, 2ème éd., 2016, §10 n. 920 ss).</w:t>
      </w:r>
    </w:p>
    <w:p>
      <w:r>
        <w:t>En outre, chaque créancier cessionnaire a la faculté d'agir : il n'est pas obligé d'intenter action, mais s'il laisse s'écouler le délai qui lui a été fixé sans agir, la cession pourra être révoquée par l'administration de la faillite (ATF 121 III 291 consid. 3c; arrêts du Tribunal fédéral 5A_483/2012 du 23 août 2012, consid. 5.3.1). En cas de révocation (et donc caducité) de la cession, l'administration de la masse recouvre le droit de disposer des prétentions antérieurement cédées (arrêts du Tribunal fédéral 5A_483/2012 déjà cité consid. 5.3.1; 7B_18/2006 du 24 avril 2006 consid. 4.3.1).</w:t>
      </w:r>
    </w:p>
    <w:p>
      <w:r>
        <w:t>2.1.3 La formule 7F relative à la cession de droits de la masse à teneur de l'art. 260 LP prévoit notamment que l'administration de la faillite se réserve le droit d'annuler la cession si le créancier cessionnaire n'agit pas en justice dans le délai qui lui aura été fixé. Lorsqu'il y a plusieurs créanciers cessionnaires, l'administration doit fixer un délai unique (ATF 121 III 291 consid. 2a et 3b). Par ailleurs, lorsqu'elle prolonge ce délai, elle doit le faire pour tous les créanciers cessionnaires, non au profit d'un seul (ATF 40 III 431 consid. 2). Cette jurisprudence s'inspire du principe d'égalité entre les créanciers : tous ceux qui ont demandé la cession doivent en principe être traités sur un pied d'égalité, et l'administration ne doit rien entreprendre qui vienne troubler cette égalité (ATF 40 III 431 consid. 2; 121 III 291 consid. 3b).</w:t>
      </w:r>
    </w:p>
    <w:p>
      <w:r>
        <w:t>Ce principe d'égalité entre les créanciers ne commande toutefois de traiter également que les situations semblables. Se trouvent ainsi dans une même situation exigeant un traitement égal, tous les créanciers qui ont requis une cession, respectivement tous ceux qui ont sollicité une prolongation du délai pour agir (ATF 121 III 291 consid. 3b). Le cessionnaire qui entend conserver son droit à agir doit requérir personnellement la prolongation du délai, faute de quoi il est réputé y renoncer, la cession devenant alors caduque pour autant que l'administration de la faillite la révoque (ATF 121 III 291 consid. 3c). En conséquence, l'égalité entre les créanciers cessionnaires implique de faire</w:t>
      </w:r>
    </w:p>
    <w:p>
      <w:r>
        <w:t>- 5/6 -</w:t>
      </w:r>
    </w:p>
    <w:p>
      <w:r>
        <w:t>A/3439/2019-CS bénéficier du même délai uniquement ceux d'entre eux qui ont manifesté leur volonté, le créancier qui a laissé écouler le délai sans agir ou sans demander de prolongation ne pouvant en revanche plus prétendre à la qualité de cessionnaire (Ibidem).</w:t>
      </w:r>
    </w:p>
    <w:p>
      <w:r>
        <w:rPr>
          <w:b/>
        </w:rPr>
        <w:t>E. 2.2</w:t>
      </w:r>
    </w:p>
    <w:p>
      <w:r>
        <w:t>En l'espèce, quand bien même la plaignante n'a effectivement pas fourni à l'administration de la faillite des explications détaillées à l'appui de sa demande de prolongation du délai pour faire valoir les droits cédés, force est de constater qu'elle a manifesté, par ses courriers expédiés avant l'échéance des délais impartis, sa volonté de conserver la qualité de cessionnaire des droits de la masse. Dans la mesure où l'autre cessionnaire, qui a au demeurant écrit à l'Office après l'échéance du délai initialement fixé au 30 juin 2019, a obtenu d'emblée une prolongation du délai pour agir au 30 juin 2020, l'égalité entre les créanciers cessionnaires commandait d'accorder à la plaignante, qui en avait fait la demande à temps, le même délai. Cette solution apparait d'autant plus opportune que l'administration de la faillite doit en tout état de cause attendre l'expiration du délai accordé au second créancier cessionnaire avant de recouvrer le droit de disposer des prétentions antérieurement cédées.</w:t>
      </w:r>
    </w:p>
    <w:p>
      <w:r>
        <w:t>Il s'ensuit que c'est à tort que l'Office a révoqué les cessions de droits accordées à la plaignante. La plainte doit ainsi être admise et la décision entreprise annulée, A______ SA Luxembourg disposant d'un délai au 30 juin 2020 pour faire valoir les prétentions inventoriées dans la faillite de B______ SÀRL, sous les postes C13, C14, C15, C16, C17, C18, C19, C20, C21, C22, C23, C24, C25, C26, C27, C28, C34, C35.</w:t>
      </w:r>
    </w:p>
    <w:p>
      <w:r>
        <w:rPr>
          <w:b/>
        </w:rPr>
        <w:t>E. 3</w:t>
      </w:r>
    </w:p>
    <w:p>
      <w:r>
        <w:t>La procédure de plainte est gratuite (art. 20a al. 2 ch. 5 LP; art. 61 al. 2 let. a OELP) et ne donne pas lieu à l'allocation de dépens (62 al. 2 OELP). * * * * *</w:t>
      </w:r>
    </w:p>
    <w:p>
      <w:r>
        <w:t>- 6/6 -</w:t>
      </w:r>
    </w:p>
    <w:p>
      <w:r>
        <w:t>A/3439/2019-CS PAR CES MOTIFS, La Chambre de surveillance : A la forme : Déclare recevable la plainte formée le 16 septembre 2019 par A______ SA Luxembourg contre la décision de l'Office cantonal des faillites du 2 septembre 2019 révoquant les cessions des prétentions inventoriées dans la faillite de B______ SÀRL, sous les postes C13, C14, C15, C16, C17, C18, C19, C20, C21, C22, C23, C24, C25, C26, C27, C28, C34, C35. Au fond : L'admet dans le sens des considérants. Annule la décision attaquée. Siégeant : Madame Verena PEDRAZZINI RIZZI, présidente; Messieurs Michel BERTSCHY et Denis KELLER,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