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DCSO/255/2024 vom 6. Juni 2024</w:t>
      </w:r>
    </w:p>
    <w:p>
      <w:r>
        <w:t>GE Cour de justice, 2024-06-06, FR</w:t>
      </w:r>
    </w:p>
    <w:p>
      <w:r>
        <w:rPr>
          <w:b/>
        </w:rPr>
        <w:t xml:space="preserve">Quelle: </w:t>
      </w:r>
      <w:r>
        <w:t>https://mcp.opencaselaw.ch/entscheid/ge_gerichte_DCSO_255_2024</w:t>
      </w:r>
    </w:p>
    <w:p>
      <w:r>
        <w:t>FR: GE_GERICHTE DCSO/255/2024 du 6 juin 2024</w:t>
      </w:r>
    </w:p>
    <w:p>
      <w:r>
        <w:t>IT: GE_GERICHTE DCSO/255/2024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L'opposition au commandement de payer (art. 74 al. 1 LP) suspend la poursuite (art. 78 al. 1 LP).</w:t>
      </w:r>
    </w:p>
    <w:p>
      <w:r>
        <w:t>Un retrait de l'opposition par le débiteur est possible (ATF 81 III 94 consid. 2). Pour être valable, la déclaration de retrait doit être donnée sans réserve ni condition (ATF 63 III 146) mais le poursuivi peut la révoquer aussi longtemps qu'elle n'est pas parvenue à l'office des poursuites. Une fois donnée, elle est en revanche irrévocable, d'éventuels vices de la volonté ne pouvant plus être invoqués que dans le cadre d'une action en répétition de l'indu au sens de l'art. 86 LP (ATF 75 III 40; 62 III 125).</w:t>
      </w:r>
    </w:p>
    <w:p>
      <w:r>
        <w:t>La déclaration de retrait de l'opposition est formulée à l'égard de l'office des poursuites. Elle peut lui parvenir directement ou indirectement, notamment par l'intermédiaire du créancier poursuivant si, d'une part, la déclaration est claire et que, d'autre part, il y a lieu d'inférer des circonstances que le débiteur a autorisé cette transmission (ATF 131 III 657 consid. 3).</w:t>
      </w:r>
    </w:p>
    <w:p>
      <w:r>
        <w:rPr>
          <w:b/>
        </w:rPr>
        <w:t>E. 2.2</w:t>
      </w:r>
    </w:p>
    <w:p>
      <w:r>
        <w:t>En l'espèce, le plaignant ne conteste pas avoir signé la déclaration de retrait de l'opposition, dont le texte est clair.</w:t>
      </w:r>
    </w:p>
    <w:p>
      <w:r>
        <w:t>Il se prévaut en revanche d'un vice de la volonté, arguant avoir signé ce document sous contrainte dans la mesure où le créancier poursuivant subordonnait tout arrangement de paiement à la signature d'une telle déclaration de retrait d'opposition. Ces circonstances n'ont toutefois pas d'incidence sur la validité des actes de poursuite accomplis par l'office, puisque sa déclaration de retrait est irrévocable une fois transmise à celui-ci. Il appartiendra en conséquence au plaignant d'agir par les voies de droit adéquates pour faire valoir le vice de consentement qu'il invoque.</w:t>
      </w:r>
    </w:p>
    <w:p>
      <w:r>
        <w:t>C'est en conséquence à juste titre que l'Office lui a notifié un avis de saisie après avoir été requis de continuer la poursuite par le créancier poursuivant, puisque la</w:t>
      </w:r>
    </w:p>
    <w:p>
      <w:r>
        <w:t>- 4/5 -</w:t>
      </w:r>
    </w:p>
    <w:p>
      <w:r>
        <w:t>A/845/2024-CS poursuite n'était plus suspendue compte tenu de sa déclaration de levée d'opposition.</w:t>
      </w:r>
    </w:p>
    <w:p>
      <w:r>
        <w:t>Infondée, la plainte sera rejetée.</w:t>
      </w:r>
    </w:p>
    <w:p>
      <w:r>
        <w:rPr>
          <w:b/>
        </w:rPr>
        <w:t>E. 3</w:t>
      </w:r>
    </w:p>
    <w:p>
      <w:r>
        <w:t>La procédure de plainte est gratuite et il ne peut être alloué aucun dépens dans cette procédure (art. 20a al. 2 ch. 5 LP; 61 al. 2 let. a OELP). * * * * *</w:t>
      </w:r>
    </w:p>
    <w:p>
      <w:r>
        <w:t>- 5/5 -</w:t>
      </w:r>
    </w:p>
    <w:p>
      <w:r>
        <w:t>A/845/2024-CS PAR CES MOTIFS, La Chambre de surveillance : A la forme : Déclare recevable la plainte formée le 11 mars 2024 par A______ contre l'avis de saisie du 26 février 2024 dans la poursuite n° 1______. Au fond : La rejette. Siégeant : Madame Ursula ZEHETBAUER GHAVAMI, présidente; Madame Natalie OPPATJA et Monsieur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