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DCSO/255/2018 vom 2. Mai 2018</w:t>
      </w:r>
    </w:p>
    <w:p>
      <w:r>
        <w:t>GE Cour de justice, 2018-05-02, FR</w:t>
      </w:r>
    </w:p>
    <w:p>
      <w:r>
        <w:rPr>
          <w:b/>
        </w:rPr>
        <w:t xml:space="preserve">Quelle: </w:t>
      </w:r>
      <w:r>
        <w:t>https://mcp.opencaselaw.ch/entscheid/ge_gerichte_DCSO_255_2018</w:t>
      </w:r>
    </w:p>
    <w:p>
      <w:r>
        <w:t>FR: GE_GERICHTE DCSO/255/2018 du 2 mai 2018</w:t>
      </w:r>
    </w:p>
    <w:p>
      <w:r>
        <w:t>IT: GE_GERICHTE DCSO/255/2018 del 2 maggio 2018</w:t>
      </w:r>
    </w:p>
    <w:p>
      <w:pPr>
        <w:pStyle w:val="Heading2"/>
      </w:pPr>
      <w:r>
        <w:t>Regeste</w:t>
      </w:r>
    </w:p>
    <w:p>
      <w:r>
        <w:t>Résumé: 2ème estimation d'un bien immobilier sur la base d'une deuxième expertise. Recours au TF interjeté le 14 mai 2018 par les débiteurs (5A_421/2018), rejeté par ATF du 13.11.2018.</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les débiteurs poursuivis, par ailleurs propriétaires des immeubles constitués en gage, ont requis de la Chambre de céans, dans les délai et forme prescrits par la loi, qu'une nouvelle estimation soit effectuée par un second expert. Ils ont en outre payé en temps utile l'avance de frais fixée par ordonnance du 3 octobre 2017.</w:t>
      </w:r>
    </w:p>
    <w:p>
      <w:r>
        <w:t>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w:t>
      </w:r>
    </w:p>
    <w:p>
      <w:r>
        <w:t>- 8/11 -</w:t>
      </w:r>
    </w:p>
    <w:p>
      <w:r>
        <w:t>A/4003/2017-CS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w:t>
      </w:r>
    </w:p>
    <w:p>
      <w:r>
        <w:t>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En l'espèce, la Chambre de céans constate que les deux expertises ont été réalisées par des experts dont aucun élément ne permet de retenir qu'ils ne disposeraient pas de compétences comparables. Elles comportent toutes les deux une présentation détaillée du bien immobilier, de ses caractéristiques et de sa situation géographique. Une visite des lieux a été effectuée par les deux experts et des photos ont été annexées aux deux rapports. Le second expert a confirmé l'exactitude du calcul des volumes bâtis.</w:t>
      </w:r>
    </w:p>
    <w:p>
      <w:r>
        <w:t>La différence – de 12% à 14% – entre les deux estimations s'explique pour l'essentiel par le prix au m² du terrain et au m3 des bâtiments retenu par les experts, le second ayant pris en compte des montants légèrement supérieurs, pour tenir compte de l'écoulement du temps entre les deux expertises, soit plus de deux ans. La détermination de ces valeurs relève de l'appréciation de l'expert, fondée sur son expérience et sa connaissance du marché local à un moment donné. Elle est d'autant plus délicate – et les divergences d'opinions entre experts d'autant plus importantes – que l'on se trouve en présence d'objets immobiliers présentant, de par leurs caractéristiques, leur situation ou d'autres particularités, un caractère exceptionnel ayant pour conséquence que les critères habituels, et notamment la référence aux prix convenus lors de transactions récentes dans le même secteur, ne sont pas ou pas complètement pertinents.</w:t>
      </w:r>
    </w:p>
    <w:p>
      <w:r>
        <w:t>Dans le cas d'espèce, aucun des deux experts n'a d'ailleurs fait état de transactions récentes ayant porté sur des objets similaires situés dans le même secteur urbain. Ils ont tous deux tenu compte de critères appropriés. La prise en compte de l'évolution du marché par le second expert justifie de retenir les valeurs vénales</w:t>
      </w:r>
    </w:p>
    <w:p>
      <w:r>
        <w:t>- 9/11 -</w:t>
      </w:r>
    </w:p>
    <w:p>
      <w:r>
        <w:t>A/4003/2017-CS arrêtées par celui-ci, soit 990'000 fr. pour la parcelle no 1______, 1'822'000 fr. pour la parcelle no 2______ et 3'877'000 fr. pour la parcelle no 3______, soit un total de 6'689'000 fr.</w:t>
      </w:r>
    </w:p>
    <w:p>
      <w:r>
        <w:t>L'expertise produite par les débiteurs, établie en janvier 2015 par H______ SARL, ne permet pas de retenir une autre valeur vénale. En effet, premièrement, elle est très succinte, ne fait pas de distinction entre prix du terrain et des bâtiments, retient la surface au sol de ces derniers et non des m3, et ne tient pas compte d'un taux de vétusté; l'expert n'a pas visité tous les locaux. Deuxièmement, elle se fonde sur des présupposés non réalisés en l'espèce, à savoir "des bâtiments vides de locataires et une répartition de la parcelle en propriétés individuelles avec des aménagements extérieurs en relation avec la surface de plancher". Troisièmement, elle ne tient pas expressément compte des restrictions imposées par la LDTR. Enfin, le taux de capitalisation est sensiblement plus élevé de celui retenu par le premier et le second expert.</w:t>
      </w:r>
    </w:p>
    <w:p>
      <w:r>
        <w:t>Contrairement à ce que soutiennent les débiteurs, les deux experts ont tenu compte de la différence entre des bâtiments contenant un seul logement et ceux en comprenant deux, puisque pour la parcelle no 2______, ils ont calculé la valeur vénale par la moyenne arithmétique de trois fois la valeur intrinsèque et une fois la valeur de rendement, alors que pour les deux autres parcelles ils ont procédé par une fois la valeur intrinsèque et deux fois la valeur de rendement. Le second expert a pour le surplus relevé le caractère aléatoire de l'option visant à vendre séparément les deux logements individuels après division de la parcelle.</w:t>
      </w:r>
    </w:p>
    <w:p>
      <w:r>
        <w:rPr>
          <w:b/>
        </w:rPr>
        <w:t>E. 3.1</w:t>
      </w:r>
    </w:p>
    <w:p>
      <w:r>
        <w:t>Le second expert a arrêté ses honoraires à 2'800 fr. TTC, montant qui paraît conforme aux tarifs usuellement pratiqués dans la branche. Sa note d'honoraires du 26 janvier 2018 peut donc être approuvée.</w:t>
      </w:r>
    </w:p>
    <w:p>
      <w:r>
        <w:t>La nouvelle expertise ayant été requise par les débiteurs poursuivis, son coût restera à la charge de ces derniers (art. 9 al. 1 1ère phr. ORFI), étant précisé qu'il sera provisoirement supporté par l'Etat, ceux-ci ayant été mis au bénéfice de l'assistance juridique. * * * * *</w:t>
      </w:r>
    </w:p>
    <w:p>
      <w:r>
        <w:t>- 10/11 -</w:t>
      </w:r>
    </w:p>
    <w:p>
      <w:r>
        <w:t>A/4003/2017-CS PAR CES MOTIFS, La Chambre de surveillance : A la forme : Déclare recevable la requête de seconde expertise formée le 30 mars 2017 par A______ et B______ dans le cadre des poursuites no 14 xxxx43 Y et 14 xxxx44 X. Au fond : Fixe à 990'000 fr. la valeur d'estimation de la parcelle n° 1______ de la commune de F______, sise 14______ E______, F______. Fixe à 1'822'000 fr. la valeur d'estimation de la parcelle n° 2______ de la commune de F______, sise 15______ E______, F______. Fixe à 3'877'000 fr. la valeur d'estimation de la parcelle n° 3______ de la commune de F______, sise 16______ E______, F______. Fixe à 2'800 fr. les frais de la nouvelle expertise effectuée par I______ et invite les Services financiers du Pouvoir judiciaire à lui verser ce montant. Laisse provisoirement ces frais à la charge de l'Etat, A______ et B______ étant au bénéfice de l'assistance juridique. Siégeant : Monsieur Patrick CHENAUX, président; Madame Pauline ERARD et Madame Nathalie RAPP, juges; Madame Véronique PISCETTA, greffière.</w:t>
      </w:r>
    </w:p>
    <w:p>
      <w:r>
        <w:t>Le président:</w:t>
      </w:r>
    </w:p>
    <w:p>
      <w:r>
        <w:t>Patrick CHENAUX</w:t>
      </w:r>
    </w:p>
    <w:p>
      <w:r>
        <w:t>La greffière :</w:t>
      </w:r>
    </w:p>
    <w:p>
      <w:r>
        <w:t>Véronique PISCETTA</w:t>
      </w:r>
    </w:p>
    <w:p>
      <w:r>
        <w:t>- 11/11 -</w:t>
      </w:r>
    </w:p>
    <w:p>
      <w:r>
        <w:t>A/4003/2017-CS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