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DCSO/255/2015 vom 30. September 2014</w:t>
      </w:r>
    </w:p>
    <w:p>
      <w:r>
        <w:t>GE Cour de justice, 2014-09-30, FR</w:t>
      </w:r>
    </w:p>
    <w:p>
      <w:r>
        <w:rPr>
          <w:b/>
        </w:rPr>
        <w:t xml:space="preserve">Quelle: </w:t>
      </w:r>
      <w:r>
        <w:t>https://mcp.opencaselaw.ch/entscheid/ge_gerichte_DCSO_255_2015</w:t>
      </w:r>
    </w:p>
    <w:p>
      <w:r>
        <w:t>FR: GE_GERICHTE DCSO/255/2015 du 30 septembre 2014</w:t>
      </w:r>
    </w:p>
    <w:p>
      <w:r>
        <w:t>IT: GE_GERICHTE DCSO/255/2015 del 30 settembre 2014</w:t>
      </w:r>
    </w:p>
    <w:p>
      <w:pPr>
        <w:pStyle w:val="Heading2"/>
      </w:pPr>
      <w:r>
        <w:t>Regeste</w:t>
      </w:r>
    </w:p>
    <w:p>
      <w:r>
        <w:t>Résumé: Absence de qualité pour former une plainte du tiers contre lequel une prétention est portée à l'inventaire dans la faillite.</w:t>
      </w:r>
    </w:p>
    <w:p>
      <w:pPr>
        <w:pStyle w:val="Heading2"/>
      </w:pPr>
      <w:r>
        <w:t>Erwägungen</w:t>
      </w:r>
    </w:p>
    <w:p>
      <w:r>
        <w:rPr>
          <w:b/>
        </w:rPr>
        <w:t>E. 1.1</w:t>
      </w:r>
    </w:p>
    <w:p>
      <w:r>
        <w:t>La plainte, écrite, motivée et comportant des conclusions (art. 9 al. 1 et 2 LaLP, art. 65 al. 1 et 2 LPA, applicables par renvoi de l'art. 9 al. 4 LaLP), est dirigée contre un acte de l'Office – la décision de porter un supposé actif à l'inventaire – ne pouvant être contesté par la voie judiciaire (art. 17 al. 1 LP) et a été déposée auprès de l'autorité compétente pour en connaître (art. 6 al.1 et 3 LaLP, art. 17 al. 1 LP) dans le délai utile de dix jours (art. 17 al. 2 LP) après que le plaignant en ait eu connaissance.</w:t>
      </w:r>
    </w:p>
    <w:p>
      <w:r>
        <w:t>Reste à examiner si le plaignant a qualité pour porter plainte, condition de recevabilité devant être examinée d'office par la Chambre de céans (Flavio COMETTA/Urs Peter MÖCKLI, in BaK SchKG I, 2ème édition, 2010, n° 39 ad art. 17 LP; Pauline ERARD, in CR LP, 2005, n° 22 ad art. 17 LP).</w:t>
      </w:r>
    </w:p>
    <w:p>
      <w:r>
        <w:rPr>
          <w:b/>
        </w:rPr>
        <w:t>E. 1.2</w:t>
      </w:r>
    </w:p>
    <w:p>
      <w:r>
        <w:t>A qualité pour former une plainte au sens de l'art. 17 LP toute personne touchée – et ainsi lésée –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op. cit., n° 40 ad art. 17 LP; Markus DIETH/Georg J. WOHL, KuKo SchKG, 2ème édition, 2014, n° 9 ad art. 17 LP). Tel sera en principe toujours le cas du débiteur faisant l'objet de la procédure d'exécution forcée ainsi que du ou des créanciers dont les prétentions sont invoquées dans cette procédure (ERARD, op. cit., n° 25 et 26 ad art. 17 LP; COMETTA/MÖCKLI, op. cit., n° 41 ad art. 17 LP; DIETH/WOHL, op. cit., n° 11 et 12 ad art. 17 LP). En ce qui concerne les autres personnes, l'existence d'un intérêt digne de protection à l'annulation ou à la modification de la mesure contestée dépend de l'existence d'un préjudice porté de manière immédiate et directe à leur situation personnelle (Pierre-Robert GILLIERON, Commentaire, n° 154 ad art. 17 LP; DIETH/WOHL,</w:t>
      </w:r>
    </w:p>
    <w:p>
      <w:r>
        <w:t>- 4/6 -</w:t>
      </w:r>
    </w:p>
    <w:p>
      <w:r>
        <w:t>A/1655/2015-CS op. cit., n° 15 ad art. 17 LP). Un tel intérêt digne de protection a ainsi été reconnu au tiers qui se prétend propriétaire d'un bien saisi ou séquestré (ATF 113 III 139 cons. 3), à l'enchérisseur contestant la validité d'une adjudication (ATF 118 III 52) ou encore à l'époux contestant la saisie de salaire de son épouse, avec laquelle il fait ménage commun (ATF 116 III 75 cons. 1a). Il a en revanche été dénié au tiers revendiquant contestant l'estimation des objets saisis par l'Office (ATF 112 III 75 cons. 1), à l'actionnaire d'une société anonyme tombée en faillite (ATF 88 III 28) et au tiers débiteur d'une prétention inventoriée contre sa cession en application des art. 260 ou 131 al. 1 LP (arrêt du Tribunal fédéral 7B.153/2003 du 17 juillet 2003 cons. 3.1), à moins qu'il ne soit en même temps créancier dans la faillite (ATF 119 III 81).</w:t>
      </w:r>
    </w:p>
    <w:p>
      <w:r>
        <w:rPr>
          <w:b/>
        </w:rPr>
        <w:t>E. 1.3</w:t>
      </w:r>
    </w:p>
    <w:p>
      <w:r>
        <w:t>L'art. 221 LP prescrit à l'Office,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(François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(Urs LUSTENBERGER, in BaK SchKG II, 2010, n° 21 ad art. 221 LP). Les litiges relatifs à l'existence ou au montant d'un droit supposé tombé dans le patrimoine du failli ne relèvent pas de la compétence de l'Office – ni de celle de l'autorité de surveillance – mais de celle du juge civil (LUSTENBERGER, op. cit., n° 21a ad art. 221 LP).</w:t>
      </w:r>
    </w:p>
    <w:p>
      <w:r>
        <w:t>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 2.3.3).</w:t>
      </w:r>
    </w:p>
    <w:p>
      <w:r>
        <w:rPr>
          <w:b/>
        </w:rPr>
        <w:t>E. 1.4</w:t>
      </w:r>
    </w:p>
    <w:p>
      <w:r>
        <w:t>Dans le cas d'espèce, il ne résulte pas du dossier que le plaignant aurait qualité de créancier dans la faillite de P______ SA. L'existence d'un intérêt digne de protection à obtenir l'annulation ou la modification de la décision attaquée doit donc être examinée uniquement au regard de sa qualité de tiers débiteur d'une prétention inventoriée. A cet égard, il résulte des développements qui précèdent que le fait de porter à l'inventaire dans la faillite une prétention en responsabilité à l'encontre du</w:t>
      </w:r>
    </w:p>
    <w:p>
      <w:r>
        <w:t>- 5/6 -</w:t>
      </w:r>
    </w:p>
    <w:p>
      <w:r>
        <w:t>A/1655/2015-CS plaignant n'a aucune conséquence sur sa situation juridique. Il n'en découle en particulier ni création d'une obligation auparavant inexistante, ni reconnaissance du bien-fondé de la prétention inventoriée, ni constatation de son montant, ces points relevant de la compétence exclusive du juge civil.</w:t>
      </w:r>
    </w:p>
    <w:p>
      <w:r>
        <w:t>Dans son courrier daté du 8 juillet 2015, le plaignant fait valoir une atteinte à ses intérêts de fait sous forme d'un préjudice à sa réputation. Un tel préjudice, invoqué abstraitement, n'est cependant aucunement rendu vraisemblable : aussi bien la faillite de P______ SA que la qualité d'ancien administrateur du plaignant résultent du Registre du commerce et sont donc notoires, de telle sorte qu'il n'apparaît pas surprenant que, lors de l'inventaire – courant en pratique – d'une prétention en responsabilité contre les organes, le plaignant soit mentionné comme éventuel débiteur. Un éventuel dommage à sa réputation ne saurait donc être admis de manière générale, en l'absence de toute allégation concrète sur la réputation dont il jouirait effectivement et la manière dont celle-ci serait défavorablement influencée par l'inventaire d'une prétention à son encontre.</w:t>
      </w:r>
    </w:p>
    <w:p>
      <w:r>
        <w:t>A supposer même qu'il faille retenir que l'inventaire d'une prétention en responsabilité à son encontre puisse causer un dommage de réputation au plaignant, il n'en résulterait pas que celui-ci dispose d'un intérêt digne de protection à contester la décision de l'Office. L'ordre juridique admet en effet que des prétentions dont l'existence est contestée et non judiciairement établie fassent l'objet de démarches entraînant une certaine publicité, telles que l'introduction d'une requête de conciliation, le dépôt d'une demande en justice ou la notification d'un commandement de payer. Sous réserve d'un éventuel abus de droit, l'atteinte à la réputation du prétendu débiteur résultant éventuellement de ces démarches ne lui confère pas un intérêt digne de protection à leur annulation. Il en va de même de la mention d'une prétention – contestée – à l'inventaire dans la faillite, étant rappelé qu'une telle mention constitue le préalable nécessaire à une éventuelle cession en faveur d'un ou plusieurs créanciers en application de l'art. 260 LP (LUSTENBERGER, op. cit., n° 21a ad art. 221 LP).</w:t>
      </w:r>
    </w:p>
    <w:p>
      <w:r>
        <w:t>Il en résulte que le plaignant n'est touché ni dans ses intérêts juridiques ni dans ses intérêts de fait par la décision de porter à l'inventaire dans la faillite une prétention en responsabilité à son encontre. La plainte doit en conséquence être déclarée irrecevable faute de qualité pour agir.</w:t>
      </w:r>
    </w:p>
    <w:p>
      <w:r>
        <w:rPr>
          <w:b/>
        </w:rPr>
        <w:t>E. 2</w:t>
      </w:r>
    </w:p>
    <w:p>
      <w:r>
        <w:t>La procédure de plainte est gratuite (art. 20a al. 2 ch. 5 LP et art. 61 al. 2 lit. a OELP) et il ne peut être alloué aucuns dépens dans cette procédure (art. 62 al. 2 OELP). * * * * *</w:t>
      </w:r>
    </w:p>
    <w:p>
      <w:r>
        <w:t>- 6/6 -</w:t>
      </w:r>
    </w:p>
    <w:p>
      <w:r>
        <w:t>A/1655/2015-CS PAR CES MOTIFS, La Chambre de surveillance : A la forme : Déclare irrecevable la plainte formée le 8 mai 2015 par M. R______ contre la décision de l'Office des faillites de porter à l'inventaire de la faillite de P______ SA une prétention à son encontre.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