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DCSO/254/2024 vom 6. Juni 2024</w:t>
      </w:r>
    </w:p>
    <w:p>
      <w:r>
        <w:t>GE Cour de justice, 2024-06-06, FR</w:t>
      </w:r>
    </w:p>
    <w:p>
      <w:r>
        <w:rPr>
          <w:b/>
        </w:rPr>
        <w:t xml:space="preserve">Quelle: </w:t>
      </w:r>
      <w:r>
        <w:t>https://mcp.opencaselaw.ch/entscheid/ge_gerichte_DCSO_254_2024</w:t>
      </w:r>
    </w:p>
    <w:p>
      <w:r>
        <w:t>FR: GE_GERICHTE DCSO/254/2024 du 6 juin 2024</w:t>
      </w:r>
    </w:p>
    <w:p>
      <w:r>
        <w:t>IT: GE_GERICHTE DCSO/254/2024 del 6 giugno 2024</w:t>
      </w:r>
    </w:p>
    <w:p>
      <w:pPr>
        <w:pStyle w:val="Heading2"/>
      </w:pPr>
      <w:r>
        <w:t>Erwägungen</w:t>
      </w:r>
    </w:p>
    <w:p>
      <w:r>
        <w:rPr>
          <w:b/>
        </w:rPr>
        <w:t>E. 1</w:t>
      </w:r>
    </w:p>
    <w:p>
      <w:r>
        <w:t>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à ces égards recevable. Elle n'est soumise à aucun délai en tant qu'elle se fonde sur les griefs de retard injustifié ou de déni de justice (art. 17 al. 3 LP).</w:t>
      </w:r>
    </w:p>
    <w:p>
      <w:r>
        <w:rPr>
          <w:b/>
        </w:rPr>
        <w:t>E. 2</w:t>
      </w:r>
    </w:p>
    <w:p>
      <w:r>
        <w:t>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 DIETH/WOHL, Kurz Kommentar, SchKG, 2ème édition, 2014, n° 32 ad art. 17 LP; ERARD, Commentaire Romand, Poursuite et faillite, 2005, n° 55 ad art. 17 LP).</w:t>
      </w:r>
    </w:p>
    <w:p>
      <w:r>
        <w:t>2.1.2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Kurz Kommentar, SchKG, n° 3 ad art. 71 LP).</w:t>
      </w:r>
    </w:p>
    <w:p>
      <w:r>
        <w:t>Une fois le commandement de payer établi conformément à l'article 69 alinéa 2 LP, la durée de la procédure de notification proprement dite dépend en partie de</w:t>
      </w:r>
    </w:p>
    <w:p>
      <w:r>
        <w:t>- 12/14 -</w:t>
      </w:r>
    </w:p>
    <w:p>
      <w:r>
        <w:t>A/406/2024-CS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w:t>
      </w:r>
    </w:p>
    <w:p>
      <w:r>
        <w:t>2.1.3 En application de l'art. 66 al. 2 LP, lorsque le débiteur demeure à l'étranger, il est procédé à la notification par l'intermédiaire des autorités de sa résidence.</w:t>
      </w:r>
    </w:p>
    <w:p>
      <w:r>
        <w:t>Aux termes de l'art. 60 LP, lorsque la poursuite est dirigée contre un détenu qui n'a pas de représentant, le préposé lui accorde un délai pour en constituer un, à moins que l'autorité tutélaire n'ait à y pouvoir. La poursuite demeure suspendue jusqu'à l'expiration de ce délai. L'art. 60 a pour finalité de permettre à toute personne détenue visée par une poursuite, dont par définition la liberté d'action et les forces psychiques sont amoindries, de veiller à la sauvegarde de ses intérêts en constituant un représentant vis-à-vis de l'Office (ATF 108 III 3 consid. 2, JdT 1984 II 22; FOËX/JEANDIN, Commentaire Romand, Poursuite et faillite, 2005, n° 1 ad a art. 60 LP).</w:t>
      </w:r>
    </w:p>
    <w:p>
      <w:r>
        <w:t>2.1.4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w:t>
      </w:r>
    </w:p>
    <w:p>
      <w:r>
        <w:rPr>
          <w:b/>
        </w:rPr>
        <w:t>E. 2.2</w:t>
      </w:r>
    </w:p>
    <w:p>
      <w:r>
        <w:t>En l'espèce, l'Office a découvert, suite à la décision rendue le 11 mai 2023 par la Chambre de céans, un élément non négligeable permettant de douter de la validité des actes revenus d'Algérie. Celui-ci correspondait à une "information permettant de remettre en cause la réalité de l'arrière-plan économique de la procédure de recouvrement, ainsi que la validité de la procuration et de la déclaration en application de l'art. 60 LP signées par le débiteur" au sens de la décision susmentionnée. Ce d'autant plus qu'il vient s'ajouter à une longue série d'autres éléments problématiques survenus dans le cadre de la poursuite litigieuse. L'Office est par conséquent fondé à reprendre ses investigations en vue d'une notification sûre des actes de poursuite. Il n'a donc pas abusé de son pouvoir d'appréciation ni tardé en faisant ce choix qui, certes, ralenti considérablement le cours de l'exécution forcée, ce qui ne saurait toutefois lui être imputé. Il apparaît de surcroît légitime que l'Office procède à des investigations particulièrement poussées lorsqu'il a toutes les raisons de soupçonner qu'une poursuite qu'il diligente participerait, de près ou de loin, à la commission d'un acte pénalement relevant.</w:t>
      </w:r>
    </w:p>
    <w:p>
      <w:r>
        <w:t>La plainte est par conséquent rejetée.</w:t>
      </w:r>
    </w:p>
    <w:p>
      <w:r>
        <w:t>- 13/14 -</w:t>
      </w:r>
    </w:p>
    <w:p>
      <w:r>
        <w:t>A/406/2024-CS</w:t>
      </w:r>
    </w:p>
    <w:p>
      <w:r>
        <w:rPr>
          <w:b/>
        </w:rPr>
        <w:t>E. 3</w:t>
      </w:r>
    </w:p>
    <w:p>
      <w:r>
        <w:t>La procédure de plainte est gratuite (art. 20a al. 2 ch. 5 LP; art. 61 al. 2 let. a OELP) et ne donne pas lieu à l'allocation de dépens (art. 62 al. 2 OELP).</w:t>
      </w:r>
    </w:p>
    <w:p>
      <w:r>
        <w:rPr>
          <w:b/>
        </w:rPr>
        <w:t>E. 4</w:t>
      </w:r>
    </w:p>
    <w:p>
      <w:r>
        <w:t>L'ensemble des éléments réunis par l'Office dépasse désormais les simples doutes et autorise des soupçons de la commission d'une infraction en Suisse – au-delà du blanchiment qui a déjà été dénoncé, vraisemblablement sans suite –, notamment l'usage d'un faux. Une dénonciation pénale s'impose par conséquent (art. 302 al. 1 et 2 CPP, 33 al. 1 LACPP). * * * * *</w:t>
      </w:r>
    </w:p>
    <w:p>
      <w:r>
        <w:t>- 14/14 -</w:t>
      </w:r>
    </w:p>
    <w:p>
      <w:r>
        <w:t>A/406/2024-CS PAR CES MOTIFS, La Chambre de surveillance : A la forme : Déclare recevable la plainte déposée le 1er février 2024 par A______ contre l'Office pour retard injustifié et abus du pouvoir d'appréciation dans le cadre de poursuite n° 7______ contre B______, en validation du séquestre n° 5______. Au fond : La rejette. Ordonne la communication de la présente décision au Ministère public pour valoir dénonciation de faits pouvant constituer un délit ou un crime. Siégeant : Monsieur Jean REYMOND, président; Madame Natalie OPPATJA et Monsieur Denis KELLER, juges assesseurs ; Madame Véronique AMAUDRY-PISCETTA, greffière. 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